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FB" w:rsidRPr="001D3213" w:rsidRDefault="001261FB">
      <w:pPr>
        <w:rPr>
          <w:rFonts w:ascii="Arial" w:hAnsi="Arial" w:cs="Arial"/>
          <w:b/>
          <w:color w:val="212121"/>
          <w:u w:val="single"/>
          <w:shd w:val="clear" w:color="auto" w:fill="FFFFFF"/>
          <w:lang w:val="fr-FR"/>
        </w:rPr>
      </w:pPr>
      <w:r w:rsidRPr="001261FB">
        <w:rPr>
          <w:lang w:val="fr-FR"/>
        </w:rPr>
        <w:br/>
      </w:r>
      <w:r w:rsidRPr="001D3213">
        <w:rPr>
          <w:rFonts w:ascii="Arial" w:hAnsi="Arial" w:cs="Arial"/>
          <w:b/>
          <w:color w:val="212121"/>
          <w:u w:val="single"/>
          <w:shd w:val="clear" w:color="auto" w:fill="FFFFFF"/>
          <w:lang w:val="fr-FR"/>
        </w:rPr>
        <w:t xml:space="preserve">Proposition de mémoire de </w:t>
      </w:r>
      <w:r w:rsidR="00496091" w:rsidRPr="001D3213">
        <w:rPr>
          <w:rFonts w:ascii="Arial" w:hAnsi="Arial" w:cs="Arial"/>
          <w:b/>
          <w:color w:val="212121"/>
          <w:u w:val="single"/>
          <w:shd w:val="clear" w:color="auto" w:fill="FFFFFF"/>
          <w:lang w:val="fr-FR"/>
        </w:rPr>
        <w:t>M</w:t>
      </w:r>
      <w:r w:rsidRPr="001D3213">
        <w:rPr>
          <w:rFonts w:ascii="Arial" w:hAnsi="Arial" w:cs="Arial"/>
          <w:b/>
          <w:color w:val="212121"/>
          <w:u w:val="single"/>
          <w:shd w:val="clear" w:color="auto" w:fill="FFFFFF"/>
          <w:lang w:val="fr-FR"/>
        </w:rPr>
        <w:t>aster</w:t>
      </w:r>
    </w:p>
    <w:p w:rsidR="001261FB" w:rsidRDefault="001261FB">
      <w:pPr>
        <w:rPr>
          <w:rFonts w:ascii="Arial" w:hAnsi="Arial" w:cs="Arial"/>
          <w:color w:val="212121"/>
          <w:shd w:val="clear" w:color="auto" w:fill="FFFFFF"/>
          <w:lang w:val="fr-FR"/>
        </w:rPr>
      </w:pPr>
      <w:r w:rsidRPr="001D3213">
        <w:rPr>
          <w:rFonts w:ascii="Arial" w:hAnsi="Arial" w:cs="Arial"/>
          <w:b/>
          <w:color w:val="212121"/>
          <w:shd w:val="clear" w:color="auto" w:fill="FFFFFF"/>
          <w:lang w:val="fr-FR"/>
        </w:rPr>
        <w:t>Nom</w:t>
      </w:r>
      <w:r>
        <w:rPr>
          <w:rFonts w:ascii="Arial" w:hAnsi="Arial" w:cs="Arial"/>
          <w:color w:val="212121"/>
          <w:shd w:val="clear" w:color="auto" w:fill="FFFFFF"/>
          <w:lang w:val="fr-FR"/>
        </w:rPr>
        <w:t xml:space="preserve"> </w:t>
      </w:r>
      <w:r w:rsidRPr="001261FB">
        <w:rPr>
          <w:rFonts w:ascii="Arial" w:hAnsi="Arial" w:cs="Arial"/>
          <w:color w:val="212121"/>
          <w:shd w:val="clear" w:color="auto" w:fill="FFFFFF"/>
          <w:lang w:val="fr-FR"/>
        </w:rPr>
        <w:t xml:space="preserve">: B.R.M. </w:t>
      </w:r>
      <w:proofErr w:type="spellStart"/>
      <w:r w:rsidRPr="001261FB">
        <w:rPr>
          <w:rFonts w:ascii="Arial" w:hAnsi="Arial" w:cs="Arial"/>
          <w:color w:val="212121"/>
          <w:shd w:val="clear" w:color="auto" w:fill="FFFFFF"/>
          <w:lang w:val="fr-FR"/>
        </w:rPr>
        <w:t>Swaen</w:t>
      </w:r>
      <w:proofErr w:type="spellEnd"/>
    </w:p>
    <w:p w:rsidR="001261FB" w:rsidRDefault="001D3213">
      <w:pPr>
        <w:rPr>
          <w:rFonts w:ascii="Arial" w:hAnsi="Arial" w:cs="Arial"/>
          <w:color w:val="212121"/>
          <w:shd w:val="clear" w:color="auto" w:fill="FFFFFF"/>
          <w:lang w:val="fr-FR"/>
        </w:rPr>
      </w:pPr>
      <w:r w:rsidRPr="001D3213">
        <w:rPr>
          <w:rFonts w:ascii="Arial" w:hAnsi="Arial" w:cs="Arial"/>
          <w:b/>
          <w:color w:val="212121"/>
          <w:shd w:val="clear" w:color="auto" w:fill="FFFFFF"/>
          <w:lang w:val="fr-FR"/>
        </w:rPr>
        <w:t>Numéro</w:t>
      </w:r>
      <w:r w:rsidR="001261FB" w:rsidRPr="001D3213">
        <w:rPr>
          <w:rFonts w:ascii="Arial" w:hAnsi="Arial" w:cs="Arial"/>
          <w:b/>
          <w:color w:val="212121"/>
          <w:shd w:val="clear" w:color="auto" w:fill="FFFFFF"/>
          <w:lang w:val="fr-FR"/>
        </w:rPr>
        <w:t xml:space="preserve"> d’étudiant</w:t>
      </w:r>
      <w:r w:rsidR="001261FB">
        <w:rPr>
          <w:rFonts w:ascii="Arial" w:hAnsi="Arial" w:cs="Arial"/>
          <w:color w:val="212121"/>
          <w:shd w:val="clear" w:color="auto" w:fill="FFFFFF"/>
          <w:lang w:val="fr-FR"/>
        </w:rPr>
        <w:t xml:space="preserve"> </w:t>
      </w:r>
      <w:r w:rsidR="001261FB" w:rsidRPr="001261FB">
        <w:rPr>
          <w:rFonts w:ascii="Arial" w:hAnsi="Arial" w:cs="Arial"/>
          <w:color w:val="212121"/>
          <w:shd w:val="clear" w:color="auto" w:fill="FFFFFF"/>
          <w:lang w:val="fr-FR"/>
        </w:rPr>
        <w:t>: 741667</w:t>
      </w:r>
    </w:p>
    <w:p w:rsidR="001261FB" w:rsidRDefault="001261FB">
      <w:pPr>
        <w:rPr>
          <w:rFonts w:ascii="Arial" w:hAnsi="Arial" w:cs="Arial"/>
          <w:color w:val="212121"/>
          <w:shd w:val="clear" w:color="auto" w:fill="FFFFFF"/>
          <w:lang w:val="fr-FR"/>
        </w:rPr>
      </w:pPr>
      <w:r w:rsidRPr="001D3213">
        <w:rPr>
          <w:rFonts w:ascii="Arial" w:hAnsi="Arial" w:cs="Arial"/>
          <w:b/>
          <w:color w:val="212121"/>
          <w:shd w:val="clear" w:color="auto" w:fill="FFFFFF"/>
          <w:lang w:val="fr-FR"/>
        </w:rPr>
        <w:t>Sujet</w:t>
      </w:r>
      <w:r>
        <w:rPr>
          <w:rFonts w:ascii="Arial" w:hAnsi="Arial" w:cs="Arial"/>
          <w:color w:val="212121"/>
          <w:shd w:val="clear" w:color="auto" w:fill="FFFFFF"/>
          <w:lang w:val="fr-FR"/>
        </w:rPr>
        <w:t xml:space="preserve"> </w:t>
      </w:r>
      <w:r w:rsidRPr="001261FB">
        <w:rPr>
          <w:rFonts w:ascii="Arial" w:hAnsi="Arial" w:cs="Arial"/>
          <w:color w:val="212121"/>
          <w:shd w:val="clear" w:color="auto" w:fill="FFFFFF"/>
          <w:lang w:val="fr-FR"/>
        </w:rPr>
        <w:t xml:space="preserve">: </w:t>
      </w:r>
      <w:r>
        <w:rPr>
          <w:rFonts w:ascii="Arial" w:hAnsi="Arial" w:cs="Arial"/>
          <w:color w:val="212121"/>
          <w:shd w:val="clear" w:color="auto" w:fill="FFFFFF"/>
          <w:lang w:val="fr-FR"/>
        </w:rPr>
        <w:t>L’a</w:t>
      </w:r>
      <w:r w:rsidRPr="001261FB">
        <w:rPr>
          <w:rFonts w:ascii="Arial" w:hAnsi="Arial" w:cs="Arial"/>
          <w:color w:val="212121"/>
          <w:shd w:val="clear" w:color="auto" w:fill="FFFFFF"/>
          <w:lang w:val="fr-FR"/>
        </w:rPr>
        <w:t xml:space="preserve">ctivisme actionnarial des </w:t>
      </w:r>
      <w:proofErr w:type="spellStart"/>
      <w:r w:rsidRPr="001D3213">
        <w:rPr>
          <w:rFonts w:ascii="Arial" w:hAnsi="Arial" w:cs="Arial"/>
          <w:i/>
          <w:color w:val="212121"/>
          <w:shd w:val="clear" w:color="auto" w:fill="FFFFFF"/>
          <w:lang w:val="fr-FR"/>
        </w:rPr>
        <w:t>hedge</w:t>
      </w:r>
      <w:proofErr w:type="spellEnd"/>
      <w:r w:rsidRPr="001D3213">
        <w:rPr>
          <w:rFonts w:ascii="Arial" w:hAnsi="Arial" w:cs="Arial"/>
          <w:i/>
          <w:color w:val="212121"/>
          <w:shd w:val="clear" w:color="auto" w:fill="FFFFFF"/>
          <w:lang w:val="fr-FR"/>
        </w:rPr>
        <w:t xml:space="preserve"> </w:t>
      </w:r>
      <w:proofErr w:type="spellStart"/>
      <w:r w:rsidRPr="001D3213">
        <w:rPr>
          <w:rFonts w:ascii="Arial" w:hAnsi="Arial" w:cs="Arial"/>
          <w:i/>
          <w:color w:val="212121"/>
          <w:shd w:val="clear" w:color="auto" w:fill="FFFFFF"/>
          <w:lang w:val="fr-FR"/>
        </w:rPr>
        <w:t>funds</w:t>
      </w:r>
      <w:proofErr w:type="spellEnd"/>
      <w:r w:rsidRPr="001261FB">
        <w:rPr>
          <w:rFonts w:ascii="Arial" w:hAnsi="Arial" w:cs="Arial"/>
          <w:color w:val="212121"/>
          <w:shd w:val="clear" w:color="auto" w:fill="FFFFFF"/>
          <w:lang w:val="fr-FR"/>
        </w:rPr>
        <w:t xml:space="preserve"> aux Pays-Bas</w:t>
      </w:r>
    </w:p>
    <w:p w:rsidR="005C2F0E" w:rsidRDefault="005C2F0E">
      <w:pPr>
        <w:rPr>
          <w:rFonts w:ascii="Arial" w:hAnsi="Arial" w:cs="Arial"/>
          <w:color w:val="212121"/>
          <w:shd w:val="clear" w:color="auto" w:fill="FFFFFF"/>
          <w:lang w:val="fr-FR"/>
        </w:rPr>
      </w:pPr>
    </w:p>
    <w:p w:rsidR="001261FB" w:rsidRPr="005C2F0E" w:rsidRDefault="005C2F0E">
      <w:pPr>
        <w:rPr>
          <w:rFonts w:ascii="Arial" w:hAnsi="Arial" w:cs="Arial"/>
          <w:b/>
          <w:color w:val="212121"/>
          <w:shd w:val="clear" w:color="auto" w:fill="FFFFFF"/>
          <w:lang w:val="fr-FR"/>
        </w:rPr>
      </w:pPr>
      <w:r w:rsidRPr="005C2F0E">
        <w:rPr>
          <w:rFonts w:ascii="Arial" w:hAnsi="Arial" w:cs="Arial"/>
          <w:b/>
          <w:color w:val="212121"/>
          <w:shd w:val="clear" w:color="auto" w:fill="FFFFFF"/>
          <w:lang w:val="fr-FR"/>
        </w:rPr>
        <w:t>Etat actuel de la littérature</w:t>
      </w:r>
    </w:p>
    <w:p w:rsidR="005C2F0E" w:rsidRDefault="001261FB" w:rsidP="00B4234E">
      <w:pPr>
        <w:jc w:val="both"/>
        <w:rPr>
          <w:shd w:val="clear" w:color="auto" w:fill="FFFFFF"/>
          <w:lang w:val="fr-FR"/>
        </w:rPr>
      </w:pPr>
      <w:r w:rsidRPr="001261FB">
        <w:rPr>
          <w:shd w:val="clear" w:color="auto" w:fill="FFFFFF"/>
          <w:lang w:val="fr-FR"/>
        </w:rPr>
        <w:t xml:space="preserve">L'activisme des actionnaires </w:t>
      </w:r>
      <w:r>
        <w:rPr>
          <w:shd w:val="clear" w:color="auto" w:fill="FFFFFF"/>
          <w:lang w:val="fr-FR"/>
        </w:rPr>
        <w:t>est</w:t>
      </w:r>
      <w:r w:rsidRPr="001261FB">
        <w:rPr>
          <w:shd w:val="clear" w:color="auto" w:fill="FFFFFF"/>
          <w:lang w:val="fr-FR"/>
        </w:rPr>
        <w:t xml:space="preserve"> un sujet </w:t>
      </w:r>
      <w:r>
        <w:rPr>
          <w:shd w:val="clear" w:color="auto" w:fill="FFFFFF"/>
          <w:lang w:val="fr-FR"/>
        </w:rPr>
        <w:t>important</w:t>
      </w:r>
      <w:r w:rsidRPr="001261FB">
        <w:rPr>
          <w:shd w:val="clear" w:color="auto" w:fill="FFFFFF"/>
          <w:lang w:val="fr-FR"/>
        </w:rPr>
        <w:t xml:space="preserve"> aux Pays-Bas. Un actionnaire activiste est un investisseur qui achète une </w:t>
      </w:r>
      <w:r w:rsidR="00D20ECB">
        <w:rPr>
          <w:shd w:val="clear" w:color="auto" w:fill="FFFFFF"/>
          <w:lang w:val="fr-FR"/>
        </w:rPr>
        <w:t>part</w:t>
      </w:r>
      <w:r w:rsidRPr="001261FB">
        <w:rPr>
          <w:shd w:val="clear" w:color="auto" w:fill="FFFFFF"/>
          <w:lang w:val="fr-FR"/>
        </w:rPr>
        <w:t xml:space="preserve"> importante d</w:t>
      </w:r>
      <w:r w:rsidR="00D20ECB">
        <w:rPr>
          <w:shd w:val="clear" w:color="auto" w:fill="FFFFFF"/>
          <w:lang w:val="fr-FR"/>
        </w:rPr>
        <w:t>’</w:t>
      </w:r>
      <w:r w:rsidRPr="001261FB">
        <w:rPr>
          <w:shd w:val="clear" w:color="auto" w:fill="FFFFFF"/>
          <w:lang w:val="fr-FR"/>
        </w:rPr>
        <w:t>une société publique, avec l'intention d</w:t>
      </w:r>
      <w:r w:rsidR="005C2F0E">
        <w:rPr>
          <w:shd w:val="clear" w:color="auto" w:fill="FFFFFF"/>
          <w:lang w:val="fr-FR"/>
        </w:rPr>
        <w:t>’</w:t>
      </w:r>
      <w:r w:rsidRPr="001261FB">
        <w:rPr>
          <w:shd w:val="clear" w:color="auto" w:fill="FFFFFF"/>
          <w:lang w:val="fr-FR"/>
        </w:rPr>
        <w:t xml:space="preserve">apporter </w:t>
      </w:r>
      <w:r w:rsidR="005C2F0E">
        <w:rPr>
          <w:shd w:val="clear" w:color="auto" w:fill="FFFFFF"/>
          <w:lang w:val="fr-FR"/>
        </w:rPr>
        <w:t>un certain</w:t>
      </w:r>
      <w:r w:rsidR="00D20ECB">
        <w:rPr>
          <w:shd w:val="clear" w:color="auto" w:fill="FFFFFF"/>
          <w:lang w:val="fr-FR"/>
        </w:rPr>
        <w:t xml:space="preserve"> nombre de</w:t>
      </w:r>
      <w:r w:rsidRPr="001261FB">
        <w:rPr>
          <w:shd w:val="clear" w:color="auto" w:fill="FFFFFF"/>
          <w:lang w:val="fr-FR"/>
        </w:rPr>
        <w:t xml:space="preserve"> changement</w:t>
      </w:r>
      <w:r w:rsidR="00D20ECB">
        <w:rPr>
          <w:shd w:val="clear" w:color="auto" w:fill="FFFFFF"/>
          <w:lang w:val="fr-FR"/>
        </w:rPr>
        <w:t>s</w:t>
      </w:r>
      <w:r w:rsidRPr="001261FB">
        <w:rPr>
          <w:shd w:val="clear" w:color="auto" w:fill="FFFFFF"/>
          <w:lang w:val="fr-FR"/>
        </w:rPr>
        <w:t xml:space="preserve"> et </w:t>
      </w:r>
      <w:r w:rsidR="005C2F0E">
        <w:rPr>
          <w:shd w:val="clear" w:color="auto" w:fill="FFFFFF"/>
          <w:lang w:val="fr-FR"/>
        </w:rPr>
        <w:t>de</w:t>
      </w:r>
      <w:r w:rsidRPr="001261FB">
        <w:rPr>
          <w:shd w:val="clear" w:color="auto" w:fill="FFFFFF"/>
          <w:lang w:val="fr-FR"/>
        </w:rPr>
        <w:t xml:space="preserve"> réaliser un profit sur investissement (Pound, 1992). Il y a de nombreux types d'activistes </w:t>
      </w:r>
      <w:r w:rsidR="005C2F0E">
        <w:rPr>
          <w:shd w:val="clear" w:color="auto" w:fill="FFFFFF"/>
          <w:lang w:val="fr-FR"/>
        </w:rPr>
        <w:t>actionnaires</w:t>
      </w:r>
      <w:r w:rsidRPr="001261FB">
        <w:rPr>
          <w:shd w:val="clear" w:color="auto" w:fill="FFFFFF"/>
          <w:lang w:val="fr-FR"/>
        </w:rPr>
        <w:t>, mais pour ce</w:t>
      </w:r>
      <w:r w:rsidR="005C2F0E">
        <w:rPr>
          <w:shd w:val="clear" w:color="auto" w:fill="FFFFFF"/>
          <w:lang w:val="fr-FR"/>
        </w:rPr>
        <w:t xml:space="preserve"> mémoire</w:t>
      </w:r>
      <w:r w:rsidRPr="001261FB">
        <w:rPr>
          <w:shd w:val="clear" w:color="auto" w:fill="FFFFFF"/>
          <w:lang w:val="fr-FR"/>
        </w:rPr>
        <w:t xml:space="preserve">, </w:t>
      </w:r>
      <w:r w:rsidR="005C2F0E">
        <w:rPr>
          <w:shd w:val="clear" w:color="auto" w:fill="FFFFFF"/>
          <w:lang w:val="fr-FR"/>
        </w:rPr>
        <w:t>nous allons nous concentrer sur les</w:t>
      </w:r>
      <w:r w:rsidRPr="001261FB">
        <w:rPr>
          <w:shd w:val="clear" w:color="auto" w:fill="FFFFFF"/>
          <w:lang w:val="fr-FR"/>
        </w:rPr>
        <w:t xml:space="preserve"> </w:t>
      </w:r>
      <w:proofErr w:type="spellStart"/>
      <w:r w:rsidRPr="001261FB">
        <w:rPr>
          <w:shd w:val="clear" w:color="auto" w:fill="FFFFFF"/>
          <w:lang w:val="fr-FR"/>
        </w:rPr>
        <w:t>hedge</w:t>
      </w:r>
      <w:proofErr w:type="spellEnd"/>
      <w:r w:rsidRPr="001261FB">
        <w:rPr>
          <w:shd w:val="clear" w:color="auto" w:fill="FFFFFF"/>
          <w:lang w:val="fr-FR"/>
        </w:rPr>
        <w:t xml:space="preserve"> </w:t>
      </w:r>
      <w:proofErr w:type="spellStart"/>
      <w:r w:rsidRPr="001261FB">
        <w:rPr>
          <w:shd w:val="clear" w:color="auto" w:fill="FFFFFF"/>
          <w:lang w:val="fr-FR"/>
        </w:rPr>
        <w:t>funds</w:t>
      </w:r>
      <w:proofErr w:type="spellEnd"/>
      <w:r w:rsidRPr="001261FB">
        <w:rPr>
          <w:shd w:val="clear" w:color="auto" w:fill="FFFFFF"/>
          <w:lang w:val="fr-FR"/>
        </w:rPr>
        <w:t>.</w:t>
      </w:r>
    </w:p>
    <w:p w:rsidR="005C2F0E" w:rsidRDefault="001261FB" w:rsidP="00B4234E">
      <w:pPr>
        <w:jc w:val="both"/>
        <w:rPr>
          <w:shd w:val="clear" w:color="auto" w:fill="FFFFFF"/>
          <w:lang w:val="fr-FR"/>
        </w:rPr>
      </w:pPr>
      <w:r w:rsidRPr="001261FB">
        <w:rPr>
          <w:shd w:val="clear" w:color="auto" w:fill="FFFFFF"/>
          <w:lang w:val="fr-FR"/>
        </w:rPr>
        <w:t xml:space="preserve">Il n'existe pas de définition généralement acceptée </w:t>
      </w:r>
      <w:r w:rsidR="005C2F0E">
        <w:rPr>
          <w:shd w:val="clear" w:color="auto" w:fill="FFFFFF"/>
          <w:lang w:val="fr-FR"/>
        </w:rPr>
        <w:t xml:space="preserve">pour les </w:t>
      </w:r>
      <w:proofErr w:type="spellStart"/>
      <w:r w:rsidR="005C2F0E" w:rsidRPr="001261FB">
        <w:rPr>
          <w:shd w:val="clear" w:color="auto" w:fill="FFFFFF"/>
          <w:lang w:val="fr-FR"/>
        </w:rPr>
        <w:t>hedge</w:t>
      </w:r>
      <w:proofErr w:type="spellEnd"/>
      <w:r w:rsidR="005C2F0E" w:rsidRPr="001261FB">
        <w:rPr>
          <w:shd w:val="clear" w:color="auto" w:fill="FFFFFF"/>
          <w:lang w:val="fr-FR"/>
        </w:rPr>
        <w:t xml:space="preserve"> </w:t>
      </w:r>
      <w:proofErr w:type="spellStart"/>
      <w:r w:rsidR="005C2F0E" w:rsidRPr="001261FB">
        <w:rPr>
          <w:shd w:val="clear" w:color="auto" w:fill="FFFFFF"/>
          <w:lang w:val="fr-FR"/>
        </w:rPr>
        <w:t>funds</w:t>
      </w:r>
      <w:proofErr w:type="spellEnd"/>
      <w:r w:rsidRPr="001261FB">
        <w:rPr>
          <w:shd w:val="clear" w:color="auto" w:fill="FFFFFF"/>
          <w:lang w:val="fr-FR"/>
        </w:rPr>
        <w:t xml:space="preserve">, mais </w:t>
      </w:r>
      <w:r w:rsidR="005C2F0E">
        <w:rPr>
          <w:shd w:val="clear" w:color="auto" w:fill="FFFFFF"/>
          <w:lang w:val="fr-FR"/>
        </w:rPr>
        <w:t>ils sont</w:t>
      </w:r>
      <w:r w:rsidRPr="001261FB">
        <w:rPr>
          <w:shd w:val="clear" w:color="auto" w:fill="FFFFFF"/>
          <w:lang w:val="fr-FR"/>
        </w:rPr>
        <w:t xml:space="preserve"> identifiés par quatre caractéristiques</w:t>
      </w:r>
      <w:r w:rsidR="005C2F0E">
        <w:rPr>
          <w:shd w:val="clear" w:color="auto" w:fill="FFFFFF"/>
          <w:lang w:val="fr-FR"/>
        </w:rPr>
        <w:t xml:space="preserve"> </w:t>
      </w:r>
      <w:r w:rsidRPr="001261FB">
        <w:rPr>
          <w:shd w:val="clear" w:color="auto" w:fill="FFFFFF"/>
          <w:lang w:val="fr-FR"/>
        </w:rPr>
        <w:t xml:space="preserve">: ce sont des </w:t>
      </w:r>
      <w:r w:rsidR="005C2F0E">
        <w:rPr>
          <w:shd w:val="clear" w:color="auto" w:fill="FFFFFF"/>
          <w:lang w:val="fr-FR"/>
        </w:rPr>
        <w:t>objets</w:t>
      </w:r>
      <w:r w:rsidRPr="001261FB">
        <w:rPr>
          <w:shd w:val="clear" w:color="auto" w:fill="FFFFFF"/>
          <w:lang w:val="fr-FR"/>
        </w:rPr>
        <w:t xml:space="preserve"> d'investissement mis en commun</w:t>
      </w:r>
      <w:r w:rsidR="00D20ECB">
        <w:rPr>
          <w:shd w:val="clear" w:color="auto" w:fill="FFFFFF"/>
          <w:lang w:val="fr-FR"/>
        </w:rPr>
        <w:t xml:space="preserve"> et</w:t>
      </w:r>
      <w:r w:rsidRPr="001261FB">
        <w:rPr>
          <w:shd w:val="clear" w:color="auto" w:fill="FFFFFF"/>
          <w:lang w:val="fr-FR"/>
        </w:rPr>
        <w:t xml:space="preserve"> organisés par le secteur privé</w:t>
      </w:r>
      <w:r w:rsidR="005C2F0E">
        <w:rPr>
          <w:shd w:val="clear" w:color="auto" w:fill="FFFFFF"/>
          <w:lang w:val="fr-FR"/>
        </w:rPr>
        <w:t xml:space="preserve"> </w:t>
      </w:r>
      <w:r w:rsidRPr="001261FB">
        <w:rPr>
          <w:shd w:val="clear" w:color="auto" w:fill="FFFFFF"/>
          <w:lang w:val="fr-FR"/>
        </w:rPr>
        <w:t>; ils sont dirigés par des gestionnaires d'investissement professionnels avec une rémunération basée sur la performance</w:t>
      </w:r>
      <w:r w:rsidR="00D20ECB">
        <w:rPr>
          <w:shd w:val="clear" w:color="auto" w:fill="FFFFFF"/>
          <w:lang w:val="fr-FR"/>
        </w:rPr>
        <w:t xml:space="preserve"> </w:t>
      </w:r>
      <w:r w:rsidRPr="001261FB">
        <w:rPr>
          <w:shd w:val="clear" w:color="auto" w:fill="FFFFFF"/>
          <w:lang w:val="fr-FR"/>
        </w:rPr>
        <w:t>; ils ne sont pas largement accessibles au public</w:t>
      </w:r>
      <w:r w:rsidR="005C2F0E">
        <w:rPr>
          <w:shd w:val="clear" w:color="auto" w:fill="FFFFFF"/>
          <w:lang w:val="fr-FR"/>
        </w:rPr>
        <w:t xml:space="preserve"> </w:t>
      </w:r>
      <w:r w:rsidRPr="001261FB">
        <w:rPr>
          <w:shd w:val="clear" w:color="auto" w:fill="FFFFFF"/>
          <w:lang w:val="fr-FR"/>
        </w:rPr>
        <w:t>; et ils opèrent en dehors des exigences en matière de réglementation et d'enregistrement des titres (</w:t>
      </w:r>
      <w:proofErr w:type="spellStart"/>
      <w:r w:rsidRPr="001261FB">
        <w:rPr>
          <w:shd w:val="clear" w:color="auto" w:fill="FFFFFF"/>
          <w:lang w:val="fr-FR"/>
        </w:rPr>
        <w:t>Partnoy</w:t>
      </w:r>
      <w:proofErr w:type="spellEnd"/>
      <w:r w:rsidRPr="001261FB">
        <w:rPr>
          <w:shd w:val="clear" w:color="auto" w:fill="FFFFFF"/>
          <w:lang w:val="fr-FR"/>
        </w:rPr>
        <w:t xml:space="preserve"> et Thomas, 2006).</w:t>
      </w:r>
    </w:p>
    <w:p w:rsidR="005C2F0E" w:rsidRDefault="001261FB" w:rsidP="00B4234E">
      <w:pPr>
        <w:jc w:val="both"/>
        <w:rPr>
          <w:shd w:val="clear" w:color="auto" w:fill="FFFFFF"/>
          <w:lang w:val="fr-FR"/>
        </w:rPr>
      </w:pPr>
      <w:r w:rsidRPr="001261FB">
        <w:rPr>
          <w:shd w:val="clear" w:color="auto" w:fill="FFFFFF"/>
          <w:lang w:val="fr-FR"/>
        </w:rPr>
        <w:t xml:space="preserve">Il existe de nombreux exemples d'activisme actionnarial couverts par les médias. Quelques exemples </w:t>
      </w:r>
      <w:r w:rsidR="00B4234E">
        <w:rPr>
          <w:shd w:val="clear" w:color="auto" w:fill="FFFFFF"/>
          <w:lang w:val="fr-FR"/>
        </w:rPr>
        <w:t xml:space="preserve">en </w:t>
      </w:r>
      <w:r w:rsidRPr="001261FB">
        <w:rPr>
          <w:shd w:val="clear" w:color="auto" w:fill="FFFFFF"/>
          <w:lang w:val="fr-FR"/>
        </w:rPr>
        <w:t>sont</w:t>
      </w:r>
      <w:r w:rsidR="005C2F0E">
        <w:rPr>
          <w:shd w:val="clear" w:color="auto" w:fill="FFFFFF"/>
          <w:lang w:val="fr-FR"/>
        </w:rPr>
        <w:t xml:space="preserve"> </w:t>
      </w:r>
      <w:r w:rsidRPr="001261FB">
        <w:rPr>
          <w:shd w:val="clear" w:color="auto" w:fill="FFFFFF"/>
          <w:lang w:val="fr-FR"/>
        </w:rPr>
        <w:t>:</w:t>
      </w:r>
    </w:p>
    <w:p w:rsidR="005C2F0E" w:rsidRDefault="001261FB" w:rsidP="00B4234E">
      <w:pPr>
        <w:jc w:val="both"/>
        <w:rPr>
          <w:shd w:val="clear" w:color="auto" w:fill="FFFFFF"/>
          <w:lang w:val="fr-FR"/>
        </w:rPr>
      </w:pPr>
      <w:r w:rsidRPr="001261FB">
        <w:rPr>
          <w:shd w:val="clear" w:color="auto" w:fill="FFFFFF"/>
          <w:lang w:val="fr-FR"/>
        </w:rPr>
        <w:t xml:space="preserve">Orbis </w:t>
      </w:r>
      <w:proofErr w:type="spellStart"/>
      <w:r w:rsidRPr="001261FB">
        <w:rPr>
          <w:shd w:val="clear" w:color="auto" w:fill="FFFFFF"/>
          <w:lang w:val="fr-FR"/>
        </w:rPr>
        <w:t>Fund</w:t>
      </w:r>
      <w:proofErr w:type="spellEnd"/>
      <w:r w:rsidRPr="001261FB">
        <w:rPr>
          <w:shd w:val="clear" w:color="auto" w:fill="FFFFFF"/>
          <w:lang w:val="fr-FR"/>
        </w:rPr>
        <w:t xml:space="preserve"> Management, un important actionnaire d'</w:t>
      </w:r>
      <w:proofErr w:type="spellStart"/>
      <w:r w:rsidRPr="001261FB">
        <w:rPr>
          <w:shd w:val="clear" w:color="auto" w:fill="FFFFFF"/>
          <w:lang w:val="fr-FR"/>
        </w:rPr>
        <w:t>Océ</w:t>
      </w:r>
      <w:proofErr w:type="spellEnd"/>
      <w:r w:rsidRPr="001261FB">
        <w:rPr>
          <w:shd w:val="clear" w:color="auto" w:fill="FFFFFF"/>
          <w:lang w:val="fr-FR"/>
        </w:rPr>
        <w:t xml:space="preserve">, a ouvertement contesté l'OPA </w:t>
      </w:r>
      <w:r w:rsidR="00B4234E">
        <w:rPr>
          <w:shd w:val="clear" w:color="auto" w:fill="FFFFFF"/>
          <w:lang w:val="fr-FR"/>
        </w:rPr>
        <w:t>(</w:t>
      </w:r>
      <w:r w:rsidR="00B4234E" w:rsidRPr="001261FB">
        <w:rPr>
          <w:shd w:val="clear" w:color="auto" w:fill="FFFFFF"/>
          <w:lang w:val="fr-FR"/>
        </w:rPr>
        <w:t>l'offre publique d'achat</w:t>
      </w:r>
      <w:r w:rsidR="00B4234E">
        <w:rPr>
          <w:shd w:val="clear" w:color="auto" w:fill="FFFFFF"/>
          <w:lang w:val="fr-FR"/>
        </w:rPr>
        <w:t xml:space="preserve">) </w:t>
      </w:r>
      <w:r w:rsidRPr="001261FB">
        <w:rPr>
          <w:shd w:val="clear" w:color="auto" w:fill="FFFFFF"/>
          <w:lang w:val="fr-FR"/>
        </w:rPr>
        <w:t>de Canon d'</w:t>
      </w:r>
      <w:proofErr w:type="spellStart"/>
      <w:r w:rsidRPr="001261FB">
        <w:rPr>
          <w:shd w:val="clear" w:color="auto" w:fill="FFFFFF"/>
          <w:lang w:val="fr-FR"/>
        </w:rPr>
        <w:t>Océ</w:t>
      </w:r>
      <w:proofErr w:type="spellEnd"/>
      <w:r w:rsidRPr="001261FB">
        <w:rPr>
          <w:shd w:val="clear" w:color="auto" w:fill="FFFFFF"/>
          <w:lang w:val="fr-FR"/>
        </w:rPr>
        <w:t xml:space="preserve">. Il a déclaré que </w:t>
      </w:r>
      <w:r w:rsidR="00B4234E">
        <w:rPr>
          <w:shd w:val="clear" w:color="auto" w:fill="FFFFFF"/>
          <w:lang w:val="fr-FR"/>
        </w:rPr>
        <w:t>l’OPA</w:t>
      </w:r>
      <w:r w:rsidRPr="001261FB">
        <w:rPr>
          <w:shd w:val="clear" w:color="auto" w:fill="FFFFFF"/>
          <w:lang w:val="fr-FR"/>
        </w:rPr>
        <w:t xml:space="preserve"> était beaucoup trop faible et sous-évaluait</w:t>
      </w:r>
      <w:r w:rsidR="005C2F0E">
        <w:rPr>
          <w:shd w:val="clear" w:color="auto" w:fill="FFFFFF"/>
          <w:lang w:val="fr-FR"/>
        </w:rPr>
        <w:t xml:space="preserve"> les a</w:t>
      </w:r>
      <w:r w:rsidRPr="001261FB">
        <w:rPr>
          <w:shd w:val="clear" w:color="auto" w:fill="FFFFFF"/>
          <w:lang w:val="fr-FR"/>
        </w:rPr>
        <w:t>ctions de la société néerlandaise (Financial Times, 2010).</w:t>
      </w:r>
    </w:p>
    <w:p w:rsidR="005C2F0E" w:rsidRDefault="001261FB" w:rsidP="00B4234E">
      <w:pPr>
        <w:jc w:val="both"/>
        <w:rPr>
          <w:shd w:val="clear" w:color="auto" w:fill="FFFFFF"/>
          <w:lang w:val="fr-FR"/>
        </w:rPr>
      </w:pPr>
      <w:r w:rsidRPr="001261FB">
        <w:rPr>
          <w:shd w:val="clear" w:color="auto" w:fill="FFFFFF"/>
          <w:lang w:val="fr-FR"/>
        </w:rPr>
        <w:t xml:space="preserve">Royal Dutch Shell a </w:t>
      </w:r>
      <w:r w:rsidR="00B4234E">
        <w:rPr>
          <w:shd w:val="clear" w:color="auto" w:fill="FFFFFF"/>
          <w:lang w:val="fr-FR"/>
        </w:rPr>
        <w:t>fusionné</w:t>
      </w:r>
      <w:r w:rsidRPr="001261FB">
        <w:rPr>
          <w:shd w:val="clear" w:color="auto" w:fill="FFFFFF"/>
          <w:lang w:val="fr-FR"/>
        </w:rPr>
        <w:t xml:space="preserve"> ses </w:t>
      </w:r>
      <w:r w:rsidR="005C2F0E">
        <w:rPr>
          <w:shd w:val="clear" w:color="auto" w:fill="FFFFFF"/>
          <w:lang w:val="fr-FR"/>
        </w:rPr>
        <w:t>atouts</w:t>
      </w:r>
      <w:r w:rsidRPr="001261FB">
        <w:rPr>
          <w:shd w:val="clear" w:color="auto" w:fill="FFFFFF"/>
          <w:lang w:val="fr-FR"/>
        </w:rPr>
        <w:t xml:space="preserve"> britanniques et hollandais en 2004, mettant ainsi fin à une structure </w:t>
      </w:r>
      <w:r w:rsidR="00B4234E">
        <w:rPr>
          <w:shd w:val="clear" w:color="auto" w:fill="FFFFFF"/>
          <w:lang w:val="fr-FR"/>
        </w:rPr>
        <w:t>de</w:t>
      </w:r>
      <w:r w:rsidRPr="001261FB">
        <w:rPr>
          <w:shd w:val="clear" w:color="auto" w:fill="FFFFFF"/>
          <w:lang w:val="fr-FR"/>
        </w:rPr>
        <w:t xml:space="preserve"> plus d'un siècle, sous la pression de </w:t>
      </w:r>
      <w:r w:rsidR="00B4234E">
        <w:rPr>
          <w:shd w:val="clear" w:color="auto" w:fill="FFFFFF"/>
          <w:lang w:val="fr-FR"/>
        </w:rPr>
        <w:t xml:space="preserve">son </w:t>
      </w:r>
      <w:r w:rsidRPr="001261FB">
        <w:rPr>
          <w:shd w:val="clear" w:color="auto" w:fill="FFFFFF"/>
          <w:lang w:val="fr-FR"/>
        </w:rPr>
        <w:t xml:space="preserve">investisseur activiste Knight </w:t>
      </w:r>
      <w:proofErr w:type="spellStart"/>
      <w:r w:rsidRPr="001261FB">
        <w:rPr>
          <w:shd w:val="clear" w:color="auto" w:fill="FFFFFF"/>
          <w:lang w:val="fr-FR"/>
        </w:rPr>
        <w:t>Vinke</w:t>
      </w:r>
      <w:proofErr w:type="spellEnd"/>
      <w:r w:rsidRPr="001261FB">
        <w:rPr>
          <w:shd w:val="clear" w:color="auto" w:fill="FFFFFF"/>
          <w:lang w:val="fr-FR"/>
        </w:rPr>
        <w:t>.</w:t>
      </w:r>
    </w:p>
    <w:p w:rsidR="005C2F0E" w:rsidRDefault="001261FB" w:rsidP="00B4234E">
      <w:pPr>
        <w:jc w:val="both"/>
        <w:rPr>
          <w:shd w:val="clear" w:color="auto" w:fill="FFFFFF"/>
          <w:lang w:val="fr-FR"/>
        </w:rPr>
      </w:pPr>
      <w:proofErr w:type="spellStart"/>
      <w:r w:rsidRPr="001261FB">
        <w:rPr>
          <w:shd w:val="clear" w:color="auto" w:fill="FFFFFF"/>
          <w:lang w:val="fr-FR"/>
        </w:rPr>
        <w:t>Stork</w:t>
      </w:r>
      <w:proofErr w:type="spellEnd"/>
      <w:r w:rsidRPr="001261FB">
        <w:rPr>
          <w:shd w:val="clear" w:color="auto" w:fill="FFFFFF"/>
          <w:lang w:val="fr-FR"/>
        </w:rPr>
        <w:t xml:space="preserve"> et </w:t>
      </w:r>
      <w:proofErr w:type="spellStart"/>
      <w:r w:rsidRPr="001261FB">
        <w:rPr>
          <w:shd w:val="clear" w:color="auto" w:fill="FFFFFF"/>
          <w:lang w:val="fr-FR"/>
        </w:rPr>
        <w:t>Ahold</w:t>
      </w:r>
      <w:proofErr w:type="spellEnd"/>
      <w:r w:rsidRPr="001261FB">
        <w:rPr>
          <w:shd w:val="clear" w:color="auto" w:fill="FFFFFF"/>
          <w:lang w:val="fr-FR"/>
        </w:rPr>
        <w:t xml:space="preserve"> sont tous deux sous la pression des fonds spéculatifs </w:t>
      </w:r>
      <w:proofErr w:type="spellStart"/>
      <w:r w:rsidRPr="001261FB">
        <w:rPr>
          <w:shd w:val="clear" w:color="auto" w:fill="FFFFFF"/>
          <w:lang w:val="fr-FR"/>
        </w:rPr>
        <w:t>Centauris</w:t>
      </w:r>
      <w:proofErr w:type="spellEnd"/>
      <w:r w:rsidRPr="001261FB">
        <w:rPr>
          <w:shd w:val="clear" w:color="auto" w:fill="FFFFFF"/>
          <w:lang w:val="fr-FR"/>
        </w:rPr>
        <w:t xml:space="preserve"> Capital et </w:t>
      </w:r>
      <w:proofErr w:type="spellStart"/>
      <w:r w:rsidRPr="001261FB">
        <w:rPr>
          <w:shd w:val="clear" w:color="auto" w:fill="FFFFFF"/>
          <w:lang w:val="fr-FR"/>
        </w:rPr>
        <w:t>Paulsen</w:t>
      </w:r>
      <w:proofErr w:type="spellEnd"/>
      <w:r w:rsidRPr="001261FB">
        <w:rPr>
          <w:shd w:val="clear" w:color="auto" w:fill="FFFFFF"/>
          <w:lang w:val="fr-FR"/>
        </w:rPr>
        <w:t xml:space="preserve"> &amp;</w:t>
      </w:r>
      <w:r w:rsidR="005C2F0E">
        <w:rPr>
          <w:shd w:val="clear" w:color="auto" w:fill="FFFFFF"/>
          <w:lang w:val="fr-FR"/>
        </w:rPr>
        <w:t xml:space="preserve"> Co.</w:t>
      </w:r>
      <w:r w:rsidRPr="001261FB">
        <w:rPr>
          <w:shd w:val="clear" w:color="auto" w:fill="FFFFFF"/>
          <w:lang w:val="fr-FR"/>
        </w:rPr>
        <w:t xml:space="preserve"> Ils ont </w:t>
      </w:r>
      <w:r w:rsidR="00CB2FB4">
        <w:rPr>
          <w:shd w:val="clear" w:color="auto" w:fill="FFFFFF"/>
          <w:lang w:val="fr-FR"/>
        </w:rPr>
        <w:t>menacé les entreprises avec</w:t>
      </w:r>
      <w:r w:rsidRPr="001261FB">
        <w:rPr>
          <w:shd w:val="clear" w:color="auto" w:fill="FFFFFF"/>
          <w:lang w:val="fr-FR"/>
        </w:rPr>
        <w:t xml:space="preserve"> </w:t>
      </w:r>
      <w:r w:rsidR="00CB2FB4">
        <w:rPr>
          <w:shd w:val="clear" w:color="auto" w:fill="FFFFFF"/>
          <w:lang w:val="fr-FR"/>
        </w:rPr>
        <w:t>la possibilité d’une</w:t>
      </w:r>
      <w:r w:rsidRPr="001261FB">
        <w:rPr>
          <w:shd w:val="clear" w:color="auto" w:fill="FFFFFF"/>
          <w:lang w:val="fr-FR"/>
        </w:rPr>
        <w:t xml:space="preserve"> future rupture si certaines actions stratégiques n'étaient pas </w:t>
      </w:r>
      <w:r w:rsidR="005C2F0E">
        <w:rPr>
          <w:shd w:val="clear" w:color="auto" w:fill="FFFFFF"/>
          <w:lang w:val="fr-FR"/>
        </w:rPr>
        <w:t>mises en place</w:t>
      </w:r>
      <w:r w:rsidRPr="001261FB">
        <w:rPr>
          <w:shd w:val="clear" w:color="auto" w:fill="FFFFFF"/>
          <w:lang w:val="fr-FR"/>
        </w:rPr>
        <w:t>.</w:t>
      </w:r>
    </w:p>
    <w:p w:rsidR="00B4234E" w:rsidRDefault="001261FB" w:rsidP="00B4234E">
      <w:pPr>
        <w:jc w:val="both"/>
        <w:rPr>
          <w:shd w:val="clear" w:color="auto" w:fill="FFFFFF"/>
          <w:lang w:val="fr-FR"/>
        </w:rPr>
      </w:pPr>
      <w:r w:rsidRPr="001261FB">
        <w:rPr>
          <w:shd w:val="clear" w:color="auto" w:fill="FFFFFF"/>
          <w:lang w:val="fr-FR"/>
        </w:rPr>
        <w:t xml:space="preserve">L'ASMI était </w:t>
      </w:r>
      <w:r w:rsidR="005C2F0E">
        <w:rPr>
          <w:shd w:val="clear" w:color="auto" w:fill="FFFFFF"/>
          <w:lang w:val="fr-FR"/>
        </w:rPr>
        <w:t>une cible</w:t>
      </w:r>
      <w:r w:rsidRPr="001261FB">
        <w:rPr>
          <w:shd w:val="clear" w:color="auto" w:fill="FFFFFF"/>
          <w:lang w:val="fr-FR"/>
        </w:rPr>
        <w:t xml:space="preserve"> du gestionnaire de fonds Mellon HBV</w:t>
      </w:r>
      <w:r w:rsidR="005C2F0E">
        <w:rPr>
          <w:shd w:val="clear" w:color="auto" w:fill="FFFFFF"/>
          <w:lang w:val="fr-FR"/>
        </w:rPr>
        <w:t xml:space="preserve"> </w:t>
      </w:r>
      <w:r w:rsidR="005C2F0E" w:rsidRPr="001261FB">
        <w:rPr>
          <w:shd w:val="clear" w:color="auto" w:fill="FFFFFF"/>
          <w:lang w:val="fr-FR"/>
        </w:rPr>
        <w:t>en 2006</w:t>
      </w:r>
      <w:r w:rsidR="005C2F0E">
        <w:rPr>
          <w:shd w:val="clear" w:color="auto" w:fill="FFFFFF"/>
          <w:lang w:val="fr-FR"/>
        </w:rPr>
        <w:t xml:space="preserve">. Mellon HBV voulait </w:t>
      </w:r>
      <w:r w:rsidRPr="001261FB">
        <w:rPr>
          <w:shd w:val="clear" w:color="auto" w:fill="FFFFFF"/>
          <w:lang w:val="fr-FR"/>
        </w:rPr>
        <w:t>pouss</w:t>
      </w:r>
      <w:r w:rsidR="005C2F0E">
        <w:rPr>
          <w:shd w:val="clear" w:color="auto" w:fill="FFFFFF"/>
          <w:lang w:val="fr-FR"/>
        </w:rPr>
        <w:t>er</w:t>
      </w:r>
      <w:r w:rsidRPr="001261FB">
        <w:rPr>
          <w:shd w:val="clear" w:color="auto" w:fill="FFFFFF"/>
          <w:lang w:val="fr-FR"/>
        </w:rPr>
        <w:t xml:space="preserve"> à une scission de la entreprise (Reuters, 2007).</w:t>
      </w:r>
    </w:p>
    <w:p w:rsidR="00243A3A" w:rsidRPr="00B4234E" w:rsidRDefault="005C2F0E" w:rsidP="00B4234E">
      <w:pPr>
        <w:jc w:val="both"/>
        <w:rPr>
          <w:shd w:val="clear" w:color="auto" w:fill="FFFFFF"/>
          <w:lang w:val="fr-FR"/>
        </w:rPr>
      </w:pPr>
      <w:r>
        <w:rPr>
          <w:rFonts w:ascii="inherit" w:hAnsi="inherit"/>
          <w:lang w:val="fr-FR"/>
        </w:rPr>
        <w:t>Il y a déjà beaucoup de recherches sur les fonds spéculatifs et l'activisme actionnarial. Le plus souvent</w:t>
      </w:r>
      <w:r w:rsidR="00F33B52">
        <w:rPr>
          <w:rFonts w:ascii="inherit" w:hAnsi="inherit"/>
          <w:lang w:val="fr-FR"/>
        </w:rPr>
        <w:t>,</w:t>
      </w:r>
      <w:r w:rsidR="00243A3A">
        <w:rPr>
          <w:rFonts w:ascii="inherit" w:hAnsi="inherit"/>
          <w:lang w:val="fr-FR"/>
        </w:rPr>
        <w:t xml:space="preserve"> la</w:t>
      </w:r>
      <w:r>
        <w:rPr>
          <w:rFonts w:ascii="inherit" w:hAnsi="inherit"/>
          <w:lang w:val="fr-FR"/>
        </w:rPr>
        <w:t xml:space="preserve"> recherche vis</w:t>
      </w:r>
      <w:r w:rsidR="00243A3A">
        <w:rPr>
          <w:rFonts w:ascii="inherit" w:hAnsi="inherit"/>
          <w:lang w:val="fr-FR"/>
        </w:rPr>
        <w:t>e</w:t>
      </w:r>
      <w:r>
        <w:rPr>
          <w:rFonts w:ascii="inherit" w:hAnsi="inherit"/>
          <w:lang w:val="fr-FR"/>
        </w:rPr>
        <w:t xml:space="preserve"> à examiner la rentabilité à court terme de l'activisme actionnarial.</w:t>
      </w:r>
      <w:r w:rsidR="00243A3A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De nombreux articles concluent qu'il y a un rendement positif important lorsque l'activisme actionnarial</w:t>
      </w:r>
      <w:r w:rsidR="00243A3A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 xml:space="preserve">est implanté (Klein et Zur, 2009, </w:t>
      </w:r>
      <w:proofErr w:type="spellStart"/>
      <w:r>
        <w:rPr>
          <w:rFonts w:ascii="inherit" w:hAnsi="inherit"/>
          <w:lang w:val="fr-FR"/>
        </w:rPr>
        <w:t>Brav</w:t>
      </w:r>
      <w:proofErr w:type="spellEnd"/>
      <w:r>
        <w:rPr>
          <w:rFonts w:ascii="inherit" w:hAnsi="inherit"/>
          <w:lang w:val="fr-FR"/>
        </w:rPr>
        <w:t xml:space="preserve"> et all., 2008). Alors que les effets à court terme sont intéressants,</w:t>
      </w:r>
      <w:r w:rsidR="00243A3A"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Witteloostuijn</w:t>
      </w:r>
      <w:proofErr w:type="spellEnd"/>
      <w:r>
        <w:rPr>
          <w:rFonts w:ascii="inherit" w:hAnsi="inherit"/>
          <w:lang w:val="fr-FR"/>
        </w:rPr>
        <w:t xml:space="preserve"> (2007) soutient que nous ne savons toujours pas grand-chose des effets à long terme</w:t>
      </w:r>
      <w:r w:rsidR="00243A3A">
        <w:rPr>
          <w:rFonts w:ascii="inherit" w:hAnsi="inherit"/>
          <w:lang w:val="fr-FR"/>
        </w:rPr>
        <w:t xml:space="preserve"> de </w:t>
      </w:r>
      <w:r>
        <w:rPr>
          <w:rFonts w:ascii="inherit" w:hAnsi="inherit"/>
          <w:lang w:val="fr-FR"/>
        </w:rPr>
        <w:t xml:space="preserve">l'activisme actionnarial des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>. Quand il mentionne cela, il fait une comparaison avec</w:t>
      </w:r>
      <w:r w:rsidR="00243A3A">
        <w:rPr>
          <w:rFonts w:ascii="inherit" w:hAnsi="inherit"/>
          <w:lang w:val="fr-FR"/>
        </w:rPr>
        <w:t xml:space="preserve"> le </w:t>
      </w:r>
      <w:r>
        <w:rPr>
          <w:rFonts w:ascii="inherit" w:hAnsi="inherit"/>
          <w:lang w:val="fr-FR"/>
        </w:rPr>
        <w:t>capital-investissement</w:t>
      </w:r>
      <w:r w:rsidR="00CB2FB4">
        <w:rPr>
          <w:rFonts w:ascii="inherit" w:hAnsi="inherit"/>
          <w:lang w:val="fr-FR"/>
        </w:rPr>
        <w:t xml:space="preserve"> (</w:t>
      </w:r>
      <w:proofErr w:type="spellStart"/>
      <w:r w:rsidR="00CB2FB4">
        <w:rPr>
          <w:rFonts w:ascii="inherit" w:hAnsi="inherit"/>
          <w:lang w:val="fr-FR"/>
        </w:rPr>
        <w:t>private</w:t>
      </w:r>
      <w:proofErr w:type="spellEnd"/>
      <w:r w:rsidR="00CB2FB4">
        <w:rPr>
          <w:rFonts w:ascii="inherit" w:hAnsi="inherit"/>
          <w:lang w:val="fr-FR"/>
        </w:rPr>
        <w:t xml:space="preserve"> </w:t>
      </w:r>
      <w:proofErr w:type="spellStart"/>
      <w:r w:rsidR="00CB2FB4">
        <w:rPr>
          <w:rFonts w:ascii="inherit" w:hAnsi="inherit"/>
          <w:lang w:val="fr-FR"/>
        </w:rPr>
        <w:t>equity</w:t>
      </w:r>
      <w:proofErr w:type="spellEnd"/>
      <w:r w:rsidR="00CB2FB4">
        <w:rPr>
          <w:rFonts w:ascii="inherit" w:hAnsi="inherit"/>
          <w:lang w:val="fr-FR"/>
        </w:rPr>
        <w:t>)</w:t>
      </w:r>
      <w:r>
        <w:rPr>
          <w:rFonts w:ascii="inherit" w:hAnsi="inherit"/>
          <w:lang w:val="fr-FR"/>
        </w:rPr>
        <w:t>.</w:t>
      </w:r>
    </w:p>
    <w:p w:rsidR="00243A3A" w:rsidRDefault="005C2F0E" w:rsidP="00B4234E">
      <w:pPr>
        <w:jc w:val="both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lastRenderedPageBreak/>
        <w:t xml:space="preserve">Quand on parle de </w:t>
      </w:r>
      <w:proofErr w:type="spellStart"/>
      <w:r>
        <w:rPr>
          <w:rFonts w:ascii="inherit" w:hAnsi="inherit"/>
          <w:lang w:val="fr-FR"/>
        </w:rPr>
        <w:t>private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equity</w:t>
      </w:r>
      <w:proofErr w:type="spellEnd"/>
      <w:r>
        <w:rPr>
          <w:rFonts w:ascii="inherit" w:hAnsi="inherit"/>
          <w:lang w:val="fr-FR"/>
        </w:rPr>
        <w:t xml:space="preserve"> comme alternative pour les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, on parle de </w:t>
      </w:r>
      <w:proofErr w:type="spellStart"/>
      <w:r w:rsidR="00243A3A">
        <w:rPr>
          <w:rFonts w:ascii="inherit" w:hAnsi="inherit"/>
          <w:lang w:val="fr-FR"/>
        </w:rPr>
        <w:t>buy-outs</w:t>
      </w:r>
      <w:proofErr w:type="spellEnd"/>
      <w:r>
        <w:rPr>
          <w:rFonts w:ascii="inherit" w:hAnsi="inherit"/>
          <w:lang w:val="fr-FR"/>
        </w:rPr>
        <w:t xml:space="preserve">. Ces </w:t>
      </w:r>
      <w:proofErr w:type="spellStart"/>
      <w:r w:rsidR="00243A3A">
        <w:rPr>
          <w:rFonts w:ascii="inherit" w:hAnsi="inherit"/>
          <w:lang w:val="fr-FR"/>
        </w:rPr>
        <w:t>buy-outs</w:t>
      </w:r>
      <w:proofErr w:type="spellEnd"/>
      <w:r w:rsidR="00243A3A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sont des transactions de sorte que les entreprises publiques deviennent privées, souvent avec</w:t>
      </w:r>
      <w:r w:rsidR="00243A3A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l'utilisation intensive de la dette.</w:t>
      </w:r>
    </w:p>
    <w:p w:rsidR="005C2F0E" w:rsidRPr="005F4BC3" w:rsidRDefault="005C2F0E" w:rsidP="00B4234E">
      <w:pPr>
        <w:jc w:val="both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t xml:space="preserve">Le capital-investissement est souvent </w:t>
      </w:r>
      <w:r w:rsidR="00243A3A">
        <w:rPr>
          <w:rFonts w:ascii="inherit" w:hAnsi="inherit"/>
          <w:lang w:val="fr-FR"/>
        </w:rPr>
        <w:t>comparé à</w:t>
      </w:r>
      <w:r>
        <w:rPr>
          <w:rFonts w:ascii="inherit" w:hAnsi="inherit"/>
          <w:lang w:val="fr-FR"/>
        </w:rPr>
        <w:t xml:space="preserve"> une sorte de </w:t>
      </w:r>
      <w:proofErr w:type="spellStart"/>
      <w:r w:rsidR="00CB2FB4">
        <w:rPr>
          <w:rFonts w:ascii="inherit" w:hAnsi="inherit"/>
          <w:lang w:val="fr-FR"/>
        </w:rPr>
        <w:t>hedge</w:t>
      </w:r>
      <w:proofErr w:type="spellEnd"/>
      <w:r w:rsidR="00CB2FB4">
        <w:rPr>
          <w:rFonts w:ascii="inherit" w:hAnsi="inherit"/>
          <w:lang w:val="fr-FR"/>
        </w:rPr>
        <w:t xml:space="preserve"> </w:t>
      </w:r>
      <w:proofErr w:type="spellStart"/>
      <w:r w:rsidR="00CB2FB4">
        <w:rPr>
          <w:rFonts w:ascii="inherit" w:hAnsi="inherit"/>
          <w:lang w:val="fr-FR"/>
        </w:rPr>
        <w:t>fund</w:t>
      </w:r>
      <w:proofErr w:type="spellEnd"/>
      <w:r>
        <w:rPr>
          <w:rFonts w:ascii="inherit" w:hAnsi="inherit"/>
          <w:lang w:val="fr-FR"/>
        </w:rPr>
        <w:t>. Mais le capital-investissement diffère</w:t>
      </w:r>
      <w:r w:rsidR="00243A3A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 xml:space="preserve">des </w:t>
      </w:r>
      <w:proofErr w:type="spellStart"/>
      <w:r w:rsidR="00CB2FB4">
        <w:rPr>
          <w:rFonts w:ascii="inherit" w:hAnsi="inherit"/>
          <w:lang w:val="fr-FR"/>
        </w:rPr>
        <w:t>hedge</w:t>
      </w:r>
      <w:proofErr w:type="spellEnd"/>
      <w:r w:rsidR="00CB2FB4">
        <w:rPr>
          <w:rFonts w:ascii="inherit" w:hAnsi="inherit"/>
          <w:lang w:val="fr-FR"/>
        </w:rPr>
        <w:t xml:space="preserve"> </w:t>
      </w:r>
      <w:proofErr w:type="spellStart"/>
      <w:r w:rsidR="00CB2FB4">
        <w:rPr>
          <w:rFonts w:ascii="inherit" w:hAnsi="inherit"/>
          <w:lang w:val="fr-FR"/>
        </w:rPr>
        <w:t>funds</w:t>
      </w:r>
      <w:proofErr w:type="spellEnd"/>
      <w:r w:rsidR="00243A3A">
        <w:rPr>
          <w:rFonts w:ascii="inherit" w:hAnsi="inherit"/>
          <w:lang w:val="fr-FR"/>
        </w:rPr>
        <w:t xml:space="preserve"> sur un certain nombre de points</w:t>
      </w:r>
      <w:r>
        <w:rPr>
          <w:rFonts w:ascii="inherit" w:hAnsi="inherit"/>
          <w:lang w:val="fr-FR"/>
        </w:rPr>
        <w:t>. Le capital-investissement a souvent beaucoup plus de temps</w:t>
      </w:r>
      <w:r w:rsidR="00243A3A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 xml:space="preserve">d'investissement que les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. Les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 visent souvent </w:t>
      </w:r>
      <w:r w:rsidR="00CB2FB4">
        <w:rPr>
          <w:rFonts w:ascii="inherit" w:hAnsi="inherit"/>
          <w:lang w:val="fr-FR"/>
        </w:rPr>
        <w:t xml:space="preserve">à </w:t>
      </w:r>
      <w:r>
        <w:rPr>
          <w:rFonts w:ascii="inherit" w:hAnsi="inherit"/>
          <w:lang w:val="fr-FR"/>
        </w:rPr>
        <w:t xml:space="preserve">une </w:t>
      </w:r>
      <w:r w:rsidR="00243A3A">
        <w:rPr>
          <w:rFonts w:ascii="inherit" w:hAnsi="inherit"/>
          <w:lang w:val="fr-FR"/>
        </w:rPr>
        <w:t xml:space="preserve">création de </w:t>
      </w:r>
      <w:r>
        <w:rPr>
          <w:rFonts w:ascii="inherit" w:hAnsi="inherit"/>
          <w:lang w:val="fr-FR"/>
        </w:rPr>
        <w:t xml:space="preserve">valeur à court terme. De plus, les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 ne prennent qu'un faible intérêt dans la société alors que </w:t>
      </w:r>
      <w:r w:rsidR="00243A3A">
        <w:rPr>
          <w:rFonts w:ascii="inherit" w:hAnsi="inherit"/>
          <w:lang w:val="fr-FR"/>
        </w:rPr>
        <w:t xml:space="preserve">le capital-investissement </w:t>
      </w:r>
      <w:r>
        <w:rPr>
          <w:rFonts w:ascii="inherit" w:hAnsi="inherit"/>
          <w:lang w:val="fr-FR"/>
        </w:rPr>
        <w:t>pren</w:t>
      </w:r>
      <w:r w:rsidR="005F4BC3">
        <w:rPr>
          <w:rFonts w:ascii="inherit" w:hAnsi="inherit"/>
          <w:lang w:val="fr-FR"/>
        </w:rPr>
        <w:t>d</w:t>
      </w:r>
      <w:r>
        <w:rPr>
          <w:rFonts w:ascii="inherit" w:hAnsi="inherit"/>
          <w:lang w:val="fr-FR"/>
        </w:rPr>
        <w:t xml:space="preserve"> en charge l'ensemble de l'entreprise et s'engage pour la société à moyen et long terme</w:t>
      </w:r>
      <w:r w:rsidR="005F4BC3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(</w:t>
      </w:r>
      <w:proofErr w:type="spellStart"/>
      <w:r>
        <w:rPr>
          <w:rFonts w:ascii="inherit" w:hAnsi="inherit"/>
          <w:lang w:val="fr-FR"/>
        </w:rPr>
        <w:t>Eijffinger</w:t>
      </w:r>
      <w:proofErr w:type="spellEnd"/>
      <w:r>
        <w:rPr>
          <w:rFonts w:ascii="inherit" w:hAnsi="inherit"/>
          <w:lang w:val="fr-FR"/>
        </w:rPr>
        <w:t xml:space="preserve"> et </w:t>
      </w:r>
      <w:proofErr w:type="spellStart"/>
      <w:r>
        <w:rPr>
          <w:rFonts w:ascii="inherit" w:hAnsi="inherit"/>
          <w:lang w:val="fr-FR"/>
        </w:rPr>
        <w:t>Koedijk</w:t>
      </w:r>
      <w:proofErr w:type="spellEnd"/>
      <w:r>
        <w:rPr>
          <w:rFonts w:ascii="inherit" w:hAnsi="inherit"/>
          <w:lang w:val="fr-FR"/>
        </w:rPr>
        <w:t xml:space="preserve"> 2007).</w:t>
      </w:r>
    </w:p>
    <w:p w:rsidR="00615E5C" w:rsidRDefault="005F4BC3" w:rsidP="00B4234E">
      <w:pPr>
        <w:jc w:val="both"/>
        <w:rPr>
          <w:rFonts w:ascii="inherit" w:hAnsi="inherit"/>
          <w:lang w:val="fr-FR"/>
        </w:rPr>
      </w:pPr>
      <w:proofErr w:type="spellStart"/>
      <w:r>
        <w:rPr>
          <w:rFonts w:ascii="inherit" w:hAnsi="inherit"/>
          <w:lang w:val="fr-FR"/>
        </w:rPr>
        <w:t>Witteloostuijn</w:t>
      </w:r>
      <w:proofErr w:type="spellEnd"/>
      <w:r>
        <w:rPr>
          <w:rFonts w:ascii="inherit" w:hAnsi="inherit"/>
          <w:lang w:val="fr-FR"/>
        </w:rPr>
        <w:t xml:space="preserve"> (2007) a fait la comparaison avec le </w:t>
      </w:r>
      <w:r w:rsidR="00855FAD">
        <w:rPr>
          <w:rFonts w:ascii="inherit" w:hAnsi="inherit"/>
          <w:lang w:val="fr-FR"/>
        </w:rPr>
        <w:t xml:space="preserve">capital-investissement </w:t>
      </w:r>
      <w:r w:rsidR="00CB2FB4">
        <w:rPr>
          <w:rFonts w:ascii="inherit" w:hAnsi="inherit"/>
          <w:lang w:val="fr-FR"/>
        </w:rPr>
        <w:t>et s’intéresse à</w:t>
      </w:r>
      <w:r>
        <w:rPr>
          <w:rFonts w:ascii="inherit" w:hAnsi="inherit"/>
          <w:lang w:val="fr-FR"/>
        </w:rPr>
        <w:t xml:space="preserve"> la différence de performance </w:t>
      </w:r>
      <w:r w:rsidR="00CB2FB4">
        <w:rPr>
          <w:rFonts w:ascii="inherit" w:hAnsi="inherit"/>
          <w:lang w:val="fr-FR"/>
        </w:rPr>
        <w:t>sur le</w:t>
      </w:r>
      <w:r>
        <w:rPr>
          <w:rFonts w:ascii="inherit" w:hAnsi="inherit"/>
          <w:lang w:val="fr-FR"/>
        </w:rPr>
        <w:t xml:space="preserve"> long terme entre les deux types d'actionnaires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activis</w:t>
      </w:r>
      <w:r w:rsidR="00615E5C">
        <w:rPr>
          <w:rFonts w:ascii="inherit" w:hAnsi="inherit"/>
          <w:lang w:val="fr-FR"/>
        </w:rPr>
        <w:t>tes</w:t>
      </w:r>
      <w:r>
        <w:rPr>
          <w:rFonts w:ascii="inherit" w:hAnsi="inherit"/>
          <w:lang w:val="fr-FR"/>
        </w:rPr>
        <w:t>. Dans un article de Thomson et Pedersen (2000), on étudie l'influence de</w:t>
      </w:r>
      <w:r w:rsidR="00CB2FB4">
        <w:rPr>
          <w:rFonts w:ascii="inherit" w:hAnsi="inherit"/>
          <w:lang w:val="fr-FR"/>
        </w:rPr>
        <w:t xml:space="preserve"> la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gouvernance d'entreprise</w:t>
      </w:r>
      <w:r w:rsidR="00615E5C">
        <w:rPr>
          <w:rFonts w:ascii="inherit" w:hAnsi="inherit"/>
          <w:lang w:val="fr-FR"/>
        </w:rPr>
        <w:t>s</w:t>
      </w:r>
      <w:r>
        <w:rPr>
          <w:rFonts w:ascii="inherit" w:hAnsi="inherit"/>
          <w:lang w:val="fr-FR"/>
        </w:rPr>
        <w:t xml:space="preserve"> différente</w:t>
      </w:r>
      <w:r w:rsidR="00615E5C">
        <w:rPr>
          <w:rFonts w:ascii="inherit" w:hAnsi="inherit"/>
          <w:lang w:val="fr-FR"/>
        </w:rPr>
        <w:t>s</w:t>
      </w:r>
      <w:r>
        <w:rPr>
          <w:rFonts w:ascii="inherit" w:hAnsi="inherit"/>
          <w:lang w:val="fr-FR"/>
        </w:rPr>
        <w:t xml:space="preserve"> sur la performance des 435 plus grandes entreprises européennes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entre 1990 et 1995. Ils constatent qu'il existe une relation entre la part de marché</w:t>
      </w:r>
      <w:r w:rsidR="00615E5C">
        <w:rPr>
          <w:rFonts w:ascii="inherit" w:hAnsi="inherit"/>
          <w:lang w:val="fr-FR"/>
        </w:rPr>
        <w:t xml:space="preserve"> de </w:t>
      </w:r>
      <w:r>
        <w:rPr>
          <w:rFonts w:ascii="inherit" w:hAnsi="inherit"/>
          <w:lang w:val="fr-FR"/>
        </w:rPr>
        <w:t>l'actionnaire dominant et la performance économique de l'entreprise. La relation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 xml:space="preserve">semble être en forme de cloche. La performance de l'entreprise </w:t>
      </w:r>
      <w:r w:rsidR="00615E5C">
        <w:rPr>
          <w:rFonts w:ascii="inherit" w:hAnsi="inherit"/>
          <w:lang w:val="fr-FR"/>
        </w:rPr>
        <w:t xml:space="preserve">connait </w:t>
      </w:r>
      <w:r>
        <w:rPr>
          <w:rFonts w:ascii="inherit" w:hAnsi="inherit"/>
          <w:lang w:val="fr-FR"/>
        </w:rPr>
        <w:t xml:space="preserve"> d'abord une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augmentation, puis une diminution</w:t>
      </w:r>
      <w:r w:rsidR="00CB2FB4">
        <w:rPr>
          <w:rFonts w:ascii="inherit" w:hAnsi="inherit"/>
          <w:lang w:val="fr-FR"/>
        </w:rPr>
        <w:t xml:space="preserve"> en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fonction de la part de propriété du plus grand propriétaire.</w:t>
      </w:r>
    </w:p>
    <w:p w:rsidR="00615E5C" w:rsidRDefault="005F4BC3" w:rsidP="00B4234E">
      <w:pPr>
        <w:jc w:val="both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t xml:space="preserve">Si nous comparons cela avec les fonds de capital-investissement et les </w:t>
      </w:r>
      <w:proofErr w:type="spellStart"/>
      <w:r w:rsidR="00615E5C">
        <w:rPr>
          <w:rFonts w:ascii="inherit" w:hAnsi="inherit"/>
          <w:lang w:val="fr-FR"/>
        </w:rPr>
        <w:t>hedge</w:t>
      </w:r>
      <w:proofErr w:type="spellEnd"/>
      <w:r w:rsidR="00615E5C">
        <w:rPr>
          <w:rFonts w:ascii="inherit" w:hAnsi="inherit"/>
          <w:lang w:val="fr-FR"/>
        </w:rPr>
        <w:t xml:space="preserve"> </w:t>
      </w:r>
      <w:proofErr w:type="spellStart"/>
      <w:r w:rsidR="00615E5C"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, la part de propriété des </w:t>
      </w:r>
      <w:proofErr w:type="spellStart"/>
      <w:r w:rsidR="00615E5C">
        <w:rPr>
          <w:rFonts w:ascii="inherit" w:hAnsi="inherit"/>
          <w:lang w:val="fr-FR"/>
        </w:rPr>
        <w:t>hedge</w:t>
      </w:r>
      <w:proofErr w:type="spellEnd"/>
      <w:r w:rsidR="00615E5C">
        <w:rPr>
          <w:rFonts w:ascii="inherit" w:hAnsi="inherit"/>
          <w:lang w:val="fr-FR"/>
        </w:rPr>
        <w:t xml:space="preserve"> </w:t>
      </w:r>
      <w:proofErr w:type="spellStart"/>
      <w:r w:rsidR="00615E5C">
        <w:rPr>
          <w:rFonts w:ascii="inherit" w:hAnsi="inherit"/>
          <w:lang w:val="fr-FR"/>
        </w:rPr>
        <w:t>funds</w:t>
      </w:r>
      <w:proofErr w:type="spellEnd"/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 xml:space="preserve">devrait alors être «trop faible» et la part de propriété des fonds de </w:t>
      </w:r>
      <w:proofErr w:type="spellStart"/>
      <w:r>
        <w:rPr>
          <w:rFonts w:ascii="inherit" w:hAnsi="inherit"/>
          <w:lang w:val="fr-FR"/>
        </w:rPr>
        <w:t>private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equity</w:t>
      </w:r>
      <w:proofErr w:type="spellEnd"/>
      <w:r>
        <w:rPr>
          <w:rFonts w:ascii="inherit" w:hAnsi="inherit"/>
          <w:lang w:val="fr-FR"/>
        </w:rPr>
        <w:t xml:space="preserve"> devrait être «trop élevée».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C'est un premier pas dans l'examen de la performance à long terme de l'activisme actionnarial.</w:t>
      </w:r>
    </w:p>
    <w:p w:rsidR="005C2F0E" w:rsidRPr="00BE1AFF" w:rsidRDefault="005F4BC3" w:rsidP="00B4234E">
      <w:pPr>
        <w:jc w:val="both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t xml:space="preserve">Une deuxième étape pourrait être de regarder le type de fonds </w:t>
      </w:r>
      <w:r w:rsidR="00615E5C">
        <w:rPr>
          <w:rFonts w:ascii="inherit" w:hAnsi="inherit"/>
          <w:lang w:val="fr-FR"/>
        </w:rPr>
        <w:t>dont traitent le</w:t>
      </w:r>
      <w:r>
        <w:rPr>
          <w:rFonts w:ascii="inherit" w:hAnsi="inherit"/>
          <w:lang w:val="fr-FR"/>
        </w:rPr>
        <w:t xml:space="preserve"> capital-investissement et les </w:t>
      </w:r>
      <w:proofErr w:type="spellStart"/>
      <w:r w:rsidR="00615E5C">
        <w:rPr>
          <w:rFonts w:ascii="inherit" w:hAnsi="inherit"/>
          <w:lang w:val="fr-FR"/>
        </w:rPr>
        <w:t>hedge</w:t>
      </w:r>
      <w:proofErr w:type="spellEnd"/>
      <w:r w:rsidR="00615E5C">
        <w:rPr>
          <w:rFonts w:ascii="inherit" w:hAnsi="inherit"/>
          <w:lang w:val="fr-FR"/>
        </w:rPr>
        <w:t xml:space="preserve"> </w:t>
      </w:r>
      <w:proofErr w:type="spellStart"/>
      <w:r w:rsidR="00615E5C">
        <w:rPr>
          <w:rFonts w:ascii="inherit" w:hAnsi="inherit"/>
          <w:lang w:val="fr-FR"/>
        </w:rPr>
        <w:t>funds</w:t>
      </w:r>
      <w:proofErr w:type="spellEnd"/>
      <w:r w:rsidR="00615E5C">
        <w:rPr>
          <w:rFonts w:ascii="inherit" w:hAnsi="inherit"/>
          <w:lang w:val="fr-FR"/>
        </w:rPr>
        <w:t xml:space="preserve">.  </w:t>
      </w:r>
      <w:r>
        <w:rPr>
          <w:rFonts w:ascii="inherit" w:hAnsi="inherit"/>
          <w:lang w:val="fr-FR"/>
        </w:rPr>
        <w:t xml:space="preserve">Il pourrait y avoir des circonstances spécifiques </w:t>
      </w:r>
      <w:r w:rsidR="00615E5C">
        <w:rPr>
          <w:rFonts w:ascii="inherit" w:hAnsi="inherit"/>
          <w:lang w:val="fr-FR"/>
        </w:rPr>
        <w:t xml:space="preserve">où </w:t>
      </w:r>
      <w:r>
        <w:rPr>
          <w:rFonts w:ascii="inherit" w:hAnsi="inherit"/>
          <w:lang w:val="fr-FR"/>
        </w:rPr>
        <w:t>le capital-investissement fonctionnera mieux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 xml:space="preserve">que les </w:t>
      </w:r>
      <w:proofErr w:type="spellStart"/>
      <w:r w:rsidR="00615E5C">
        <w:rPr>
          <w:rFonts w:ascii="inherit" w:hAnsi="inherit"/>
          <w:lang w:val="fr-FR"/>
        </w:rPr>
        <w:t>hedge</w:t>
      </w:r>
      <w:proofErr w:type="spellEnd"/>
      <w:r w:rsidR="00615E5C">
        <w:rPr>
          <w:rFonts w:ascii="inherit" w:hAnsi="inherit"/>
          <w:lang w:val="fr-FR"/>
        </w:rPr>
        <w:t xml:space="preserve"> </w:t>
      </w:r>
      <w:proofErr w:type="spellStart"/>
      <w:r w:rsidR="00615E5C"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 et vice versa. Dans une étude de </w:t>
      </w:r>
      <w:proofErr w:type="spellStart"/>
      <w:r>
        <w:rPr>
          <w:rFonts w:ascii="inherit" w:hAnsi="inherit"/>
          <w:lang w:val="fr-FR"/>
        </w:rPr>
        <w:t>Simerly</w:t>
      </w:r>
      <w:proofErr w:type="spellEnd"/>
      <w:r>
        <w:rPr>
          <w:rFonts w:ascii="inherit" w:hAnsi="inherit"/>
          <w:lang w:val="fr-FR"/>
        </w:rPr>
        <w:t xml:space="preserve"> et Li (2000), ils étudient l</w:t>
      </w:r>
      <w:r w:rsidR="00615E5C">
        <w:rPr>
          <w:rFonts w:ascii="inherit" w:hAnsi="inherit"/>
          <w:lang w:val="fr-FR"/>
        </w:rPr>
        <w:t xml:space="preserve">es </w:t>
      </w:r>
      <w:r>
        <w:rPr>
          <w:rFonts w:ascii="inherit" w:hAnsi="inherit"/>
          <w:lang w:val="fr-FR"/>
        </w:rPr>
        <w:t xml:space="preserve">implications de performance de l'alignement entre dynamisme environnemental et </w:t>
      </w:r>
      <w:r w:rsidR="00615E5C">
        <w:rPr>
          <w:rFonts w:ascii="inherit" w:hAnsi="inherit"/>
          <w:lang w:val="fr-FR"/>
        </w:rPr>
        <w:t xml:space="preserve">structure de </w:t>
      </w:r>
      <w:r>
        <w:rPr>
          <w:rFonts w:ascii="inherit" w:hAnsi="inherit"/>
          <w:lang w:val="fr-FR"/>
        </w:rPr>
        <w:t xml:space="preserve">capital. Avec le </w:t>
      </w:r>
      <w:r w:rsidR="00615E5C">
        <w:rPr>
          <w:rFonts w:ascii="inherit" w:hAnsi="inherit"/>
          <w:lang w:val="fr-FR"/>
        </w:rPr>
        <w:t>d</w:t>
      </w:r>
      <w:r>
        <w:rPr>
          <w:rFonts w:ascii="inherit" w:hAnsi="inherit"/>
          <w:lang w:val="fr-FR"/>
        </w:rPr>
        <w:t xml:space="preserve">ynamisme environnemental, ils </w:t>
      </w:r>
      <w:r w:rsidR="00615E5C">
        <w:rPr>
          <w:rFonts w:ascii="inherit" w:hAnsi="inherit"/>
          <w:lang w:val="fr-FR"/>
        </w:rPr>
        <w:t xml:space="preserve">mettent en exergue </w:t>
      </w:r>
      <w:r>
        <w:rPr>
          <w:rFonts w:ascii="inherit" w:hAnsi="inherit"/>
          <w:lang w:val="fr-FR"/>
        </w:rPr>
        <w:t>le degré et l'instabilité des changements dans un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 xml:space="preserve">environnement concurrentiel </w:t>
      </w:r>
      <w:r w:rsidR="00615E5C">
        <w:rPr>
          <w:rFonts w:ascii="inherit" w:hAnsi="inherit"/>
          <w:lang w:val="fr-FR"/>
        </w:rPr>
        <w:t>d</w:t>
      </w:r>
      <w:r>
        <w:rPr>
          <w:rFonts w:ascii="inherit" w:hAnsi="inherit"/>
          <w:lang w:val="fr-FR"/>
        </w:rPr>
        <w:t xml:space="preserve">'entreprise (Child, 1972, </w:t>
      </w:r>
      <w:proofErr w:type="spellStart"/>
      <w:r>
        <w:rPr>
          <w:rFonts w:ascii="inherit" w:hAnsi="inherit"/>
          <w:lang w:val="fr-FR"/>
        </w:rPr>
        <w:t>Dess</w:t>
      </w:r>
      <w:proofErr w:type="spellEnd"/>
      <w:r>
        <w:rPr>
          <w:rFonts w:ascii="inherit" w:hAnsi="inherit"/>
          <w:lang w:val="fr-FR"/>
        </w:rPr>
        <w:t xml:space="preserve"> et Beard, 1984). Quand une entreprise est dans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un</w:t>
      </w:r>
      <w:r w:rsidR="00615E5C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environnement très dynamique, le poids de la dette est souvent contre-productif. Une dette plus élevée</w:t>
      </w:r>
      <w:r w:rsidR="00615E5C">
        <w:rPr>
          <w:rFonts w:ascii="inherit" w:hAnsi="inherit"/>
          <w:lang w:val="fr-FR"/>
        </w:rPr>
        <w:t xml:space="preserve"> est un </w:t>
      </w:r>
      <w:r>
        <w:rPr>
          <w:rFonts w:ascii="inherit" w:hAnsi="inherit"/>
          <w:lang w:val="fr-FR"/>
        </w:rPr>
        <w:t xml:space="preserve">fardeau </w:t>
      </w:r>
      <w:r w:rsidR="00615E5C">
        <w:rPr>
          <w:rFonts w:ascii="inherit" w:hAnsi="inherit"/>
          <w:lang w:val="fr-FR"/>
        </w:rPr>
        <w:t xml:space="preserve">qui </w:t>
      </w:r>
      <w:r>
        <w:rPr>
          <w:rFonts w:ascii="inherit" w:hAnsi="inherit"/>
          <w:lang w:val="fr-FR"/>
        </w:rPr>
        <w:t xml:space="preserve">conduit à une plus grande aversion au risque et cela constituera </w:t>
      </w:r>
      <w:r w:rsidR="00615E5C">
        <w:rPr>
          <w:rFonts w:ascii="inherit" w:hAnsi="inherit"/>
          <w:lang w:val="fr-FR"/>
        </w:rPr>
        <w:t xml:space="preserve">une raison </w:t>
      </w:r>
      <w:r>
        <w:rPr>
          <w:rFonts w:ascii="inherit" w:hAnsi="inherit"/>
          <w:lang w:val="fr-FR"/>
        </w:rPr>
        <w:t xml:space="preserve">pour réduire les investissements dans la R &amp; D, </w:t>
      </w:r>
      <w:r w:rsidR="00615E5C">
        <w:rPr>
          <w:rFonts w:ascii="inherit" w:hAnsi="inherit"/>
          <w:lang w:val="fr-FR"/>
        </w:rPr>
        <w:t>qui</w:t>
      </w:r>
      <w:r>
        <w:rPr>
          <w:rFonts w:ascii="inherit" w:hAnsi="inherit"/>
          <w:lang w:val="fr-FR"/>
        </w:rPr>
        <w:t xml:space="preserve"> sont d'une grande importance dans un marché concurrentiel dynamique.</w:t>
      </w:r>
    </w:p>
    <w:p w:rsidR="00496091" w:rsidRDefault="00615E5C" w:rsidP="00B4234E">
      <w:pPr>
        <w:jc w:val="both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t xml:space="preserve">Si nous comparons </w:t>
      </w:r>
      <w:r w:rsidR="00496091">
        <w:rPr>
          <w:rFonts w:ascii="inherit" w:hAnsi="inherit"/>
          <w:lang w:val="fr-FR"/>
        </w:rPr>
        <w:t xml:space="preserve">les fonds de capital-investissement </w:t>
      </w:r>
      <w:r>
        <w:rPr>
          <w:rFonts w:ascii="inherit" w:hAnsi="inherit"/>
          <w:lang w:val="fr-FR"/>
        </w:rPr>
        <w:t xml:space="preserve">et les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, il </w:t>
      </w:r>
      <w:r w:rsidR="00496091">
        <w:rPr>
          <w:rFonts w:ascii="inherit" w:hAnsi="inherit"/>
          <w:lang w:val="fr-FR"/>
        </w:rPr>
        <w:t>est</w:t>
      </w:r>
      <w:r>
        <w:rPr>
          <w:rFonts w:ascii="inherit" w:hAnsi="inherit"/>
          <w:lang w:val="fr-FR"/>
        </w:rPr>
        <w:t xml:space="preserve"> vrai que </w:t>
      </w:r>
      <w:r w:rsidR="00496091">
        <w:rPr>
          <w:rFonts w:ascii="inherit" w:hAnsi="inherit"/>
          <w:lang w:val="fr-FR"/>
        </w:rPr>
        <w:t xml:space="preserve">les fonds de capital-investissement ont </w:t>
      </w:r>
      <w:r>
        <w:rPr>
          <w:rFonts w:ascii="inherit" w:hAnsi="inherit"/>
          <w:lang w:val="fr-FR"/>
        </w:rPr>
        <w:t>une influence négative sur la performance d'une entreprise si elle est dans un environnement dynamique.</w:t>
      </w:r>
      <w:r w:rsidR="00496091">
        <w:rPr>
          <w:rFonts w:ascii="inherit" w:hAnsi="inherit"/>
          <w:lang w:val="fr-FR"/>
        </w:rPr>
        <w:t xml:space="preserve"> Il faut donc </w:t>
      </w:r>
      <w:r>
        <w:rPr>
          <w:rFonts w:ascii="inherit" w:hAnsi="inherit"/>
          <w:lang w:val="fr-FR"/>
        </w:rPr>
        <w:t xml:space="preserve">s'attendre à ce que les entreprises dans un environnement d'affaires dynamique obtiennent de meilleurs résultats par les </w:t>
      </w:r>
      <w:proofErr w:type="spellStart"/>
      <w:r w:rsidR="00496091">
        <w:rPr>
          <w:rFonts w:ascii="inherit" w:hAnsi="inherit"/>
          <w:lang w:val="fr-FR"/>
        </w:rPr>
        <w:t>hedge</w:t>
      </w:r>
      <w:proofErr w:type="spellEnd"/>
      <w:r w:rsidR="00496091">
        <w:rPr>
          <w:rFonts w:ascii="inherit" w:hAnsi="inherit"/>
          <w:lang w:val="fr-FR"/>
        </w:rPr>
        <w:t xml:space="preserve"> </w:t>
      </w:r>
      <w:proofErr w:type="spellStart"/>
      <w:r w:rsidR="00496091"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 qu</w:t>
      </w:r>
      <w:r w:rsidR="00496091">
        <w:rPr>
          <w:rFonts w:ascii="inherit" w:hAnsi="inherit"/>
          <w:lang w:val="fr-FR"/>
        </w:rPr>
        <w:t>’avec le</w:t>
      </w:r>
      <w:r>
        <w:rPr>
          <w:rFonts w:ascii="inherit" w:hAnsi="inherit"/>
          <w:lang w:val="fr-FR"/>
        </w:rPr>
        <w:t xml:space="preserve"> capital-investissement.</w:t>
      </w:r>
    </w:p>
    <w:p w:rsidR="00496091" w:rsidRDefault="00615E5C" w:rsidP="00B4234E">
      <w:pPr>
        <w:jc w:val="both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t>Ces deux étapes sont utiles dans la réflexion sur la performance à long terme de l'actionnaire</w:t>
      </w:r>
      <w:r w:rsidR="00496091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activis</w:t>
      </w:r>
      <w:r w:rsidR="00496091">
        <w:rPr>
          <w:rFonts w:ascii="inherit" w:hAnsi="inherit"/>
          <w:lang w:val="fr-FR"/>
        </w:rPr>
        <w:t>t</w:t>
      </w:r>
      <w:r>
        <w:rPr>
          <w:rFonts w:ascii="inherit" w:hAnsi="inherit"/>
          <w:lang w:val="fr-FR"/>
        </w:rPr>
        <w:t xml:space="preserve">e. </w:t>
      </w:r>
      <w:r w:rsidR="00496091">
        <w:rPr>
          <w:rFonts w:ascii="inherit" w:hAnsi="inherit"/>
          <w:lang w:val="fr-FR"/>
        </w:rPr>
        <w:t>Toutefois, lorsque</w:t>
      </w:r>
      <w:r>
        <w:rPr>
          <w:rFonts w:ascii="inherit" w:hAnsi="inherit"/>
          <w:lang w:val="fr-FR"/>
        </w:rPr>
        <w:t xml:space="preserve"> nous comparons le capital-investissement avec l'activisme des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, un nouveau problème </w:t>
      </w:r>
      <w:r w:rsidR="00496091">
        <w:rPr>
          <w:rFonts w:ascii="inherit" w:hAnsi="inherit"/>
          <w:lang w:val="fr-FR"/>
        </w:rPr>
        <w:t>sur</w:t>
      </w:r>
      <w:r>
        <w:rPr>
          <w:rFonts w:ascii="inherit" w:hAnsi="inherit"/>
          <w:lang w:val="fr-FR"/>
        </w:rPr>
        <w:t>vient</w:t>
      </w:r>
      <w:r w:rsidR="00496091">
        <w:rPr>
          <w:rFonts w:ascii="inherit" w:hAnsi="inherit"/>
          <w:lang w:val="fr-FR"/>
        </w:rPr>
        <w:t xml:space="preserve">. </w:t>
      </w:r>
      <w:r>
        <w:rPr>
          <w:rFonts w:ascii="inherit" w:hAnsi="inherit"/>
          <w:lang w:val="fr-FR"/>
        </w:rPr>
        <w:t>Il est extrêmement difficile de mesurer la performance du capital-investissement, et donc de comparer</w:t>
      </w:r>
      <w:r w:rsidR="00496091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 xml:space="preserve">les profits entre capitaux propres publics et privés (Boot et Cools, 2007). La raison la plus </w:t>
      </w:r>
      <w:r w:rsidR="00496091">
        <w:rPr>
          <w:rFonts w:ascii="inherit" w:hAnsi="inherit"/>
          <w:lang w:val="fr-FR"/>
        </w:rPr>
        <w:t>centrale</w:t>
      </w:r>
      <w:r>
        <w:rPr>
          <w:rFonts w:ascii="inherit" w:hAnsi="inherit"/>
          <w:lang w:val="fr-FR"/>
        </w:rPr>
        <w:t xml:space="preserve"> est</w:t>
      </w:r>
      <w:r w:rsidR="00496091">
        <w:rPr>
          <w:rFonts w:ascii="inherit" w:hAnsi="inherit"/>
          <w:lang w:val="fr-FR"/>
        </w:rPr>
        <w:t xml:space="preserve"> </w:t>
      </w:r>
      <w:r>
        <w:rPr>
          <w:rFonts w:ascii="inherit" w:hAnsi="inherit"/>
          <w:lang w:val="fr-FR"/>
        </w:rPr>
        <w:t>que le capital-investissement est illiquide et que les bénéfices des participations individuelles ne sont souvent pas visibles.</w:t>
      </w:r>
    </w:p>
    <w:p w:rsidR="00615E5C" w:rsidRPr="00496091" w:rsidRDefault="00615E5C" w:rsidP="00B4234E">
      <w:pPr>
        <w:jc w:val="both"/>
        <w:rPr>
          <w:rFonts w:ascii="inherit" w:hAnsi="inherit"/>
          <w:lang w:val="fr-FR"/>
        </w:rPr>
      </w:pPr>
      <w:r>
        <w:rPr>
          <w:rFonts w:ascii="inherit" w:hAnsi="inherit"/>
          <w:lang w:val="fr-FR"/>
        </w:rPr>
        <w:lastRenderedPageBreak/>
        <w:t>Pour que ce</w:t>
      </w:r>
      <w:r w:rsidR="00496091">
        <w:rPr>
          <w:rFonts w:ascii="inherit" w:hAnsi="inherit"/>
          <w:lang w:val="fr-FR"/>
        </w:rPr>
        <w:t xml:space="preserve"> mémoire</w:t>
      </w:r>
      <w:r>
        <w:rPr>
          <w:rFonts w:ascii="inherit" w:hAnsi="inherit"/>
          <w:lang w:val="fr-FR"/>
        </w:rPr>
        <w:t xml:space="preserve"> ne soit pas trop complexe, je </w:t>
      </w:r>
      <w:r w:rsidR="00496091">
        <w:rPr>
          <w:rFonts w:ascii="inherit" w:hAnsi="inherit"/>
          <w:lang w:val="fr-FR"/>
        </w:rPr>
        <w:t>m’attacherai seulement à l’étude de</w:t>
      </w:r>
      <w:r>
        <w:rPr>
          <w:rFonts w:ascii="inherit" w:hAnsi="inherit"/>
          <w:lang w:val="fr-FR"/>
        </w:rPr>
        <w:t xml:space="preserve"> l'activisme des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 w:rsidR="00496091">
        <w:rPr>
          <w:rFonts w:ascii="inherit" w:hAnsi="inherit"/>
          <w:lang w:val="fr-FR"/>
        </w:rPr>
        <w:t xml:space="preserve"> et du </w:t>
      </w:r>
      <w:r>
        <w:rPr>
          <w:rFonts w:ascii="inherit" w:hAnsi="inherit"/>
          <w:lang w:val="fr-FR"/>
        </w:rPr>
        <w:t xml:space="preserve">capital-investissement. Dans </w:t>
      </w:r>
      <w:r w:rsidR="00496091">
        <w:rPr>
          <w:rFonts w:ascii="inherit" w:hAnsi="inherit"/>
          <w:lang w:val="fr-FR"/>
        </w:rPr>
        <w:t>ce mémoire,</w:t>
      </w:r>
      <w:r>
        <w:rPr>
          <w:rFonts w:ascii="inherit" w:hAnsi="inherit"/>
          <w:lang w:val="fr-FR"/>
        </w:rPr>
        <w:t xml:space="preserve"> j'examinerai l'activisme des </w:t>
      </w:r>
      <w:proofErr w:type="spellStart"/>
      <w:r>
        <w:rPr>
          <w:rFonts w:ascii="inherit" w:hAnsi="inherit"/>
          <w:lang w:val="fr-FR"/>
        </w:rPr>
        <w:t>hedge</w:t>
      </w:r>
      <w:proofErr w:type="spellEnd"/>
      <w:r>
        <w:rPr>
          <w:rFonts w:ascii="inherit" w:hAnsi="inherit"/>
          <w:lang w:val="fr-FR"/>
        </w:rPr>
        <w:t xml:space="preserve"> </w:t>
      </w:r>
      <w:proofErr w:type="spellStart"/>
      <w:r>
        <w:rPr>
          <w:rFonts w:ascii="inherit" w:hAnsi="inherit"/>
          <w:lang w:val="fr-FR"/>
        </w:rPr>
        <w:t>funds</w:t>
      </w:r>
      <w:proofErr w:type="spellEnd"/>
      <w:r>
        <w:rPr>
          <w:rFonts w:ascii="inherit" w:hAnsi="inherit"/>
          <w:lang w:val="fr-FR"/>
        </w:rPr>
        <w:t xml:space="preserve"> de la dernière décennie</w:t>
      </w:r>
      <w:r w:rsidR="00496091">
        <w:rPr>
          <w:rFonts w:ascii="inherit" w:hAnsi="inherit"/>
          <w:lang w:val="fr-FR"/>
        </w:rPr>
        <w:t xml:space="preserve"> aux </w:t>
      </w:r>
      <w:r>
        <w:rPr>
          <w:rFonts w:ascii="inherit" w:hAnsi="inherit"/>
          <w:lang w:val="fr-FR"/>
        </w:rPr>
        <w:t xml:space="preserve">Pays-Bas, et </w:t>
      </w:r>
      <w:r w:rsidR="00496091">
        <w:rPr>
          <w:rFonts w:ascii="inherit" w:hAnsi="inherit"/>
          <w:lang w:val="fr-FR"/>
        </w:rPr>
        <w:t>essayerai</w:t>
      </w:r>
      <w:r>
        <w:rPr>
          <w:rFonts w:ascii="inherit" w:hAnsi="inherit"/>
          <w:lang w:val="fr-FR"/>
        </w:rPr>
        <w:t xml:space="preserve"> d'examiner la performance à long terme de l'activisme des fonds </w:t>
      </w:r>
      <w:r w:rsidR="00496091">
        <w:rPr>
          <w:rFonts w:ascii="inherit" w:hAnsi="inherit"/>
          <w:lang w:val="fr-FR"/>
        </w:rPr>
        <w:t>s</w:t>
      </w:r>
      <w:r>
        <w:rPr>
          <w:rFonts w:ascii="inherit" w:hAnsi="inherit"/>
          <w:lang w:val="fr-FR"/>
        </w:rPr>
        <w:t>péculatifs.</w:t>
      </w:r>
    </w:p>
    <w:p w:rsidR="001261FB" w:rsidRDefault="001261FB" w:rsidP="0012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</w:p>
    <w:p w:rsidR="001261FB" w:rsidRPr="001261FB" w:rsidRDefault="001261FB" w:rsidP="0012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  <w:r w:rsidRPr="001261FB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Question de recherche</w:t>
      </w:r>
    </w:p>
    <w:p w:rsidR="001261FB" w:rsidRDefault="001261FB" w:rsidP="0012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1261FB" w:rsidRDefault="001261FB" w:rsidP="00B4234E">
      <w:pPr>
        <w:jc w:val="both"/>
        <w:rPr>
          <w:lang w:val="fr-FR" w:eastAsia="nl-NL"/>
        </w:rPr>
      </w:pPr>
      <w:r w:rsidRPr="001261FB">
        <w:rPr>
          <w:lang w:val="fr-FR" w:eastAsia="nl-NL"/>
        </w:rPr>
        <w:t xml:space="preserve">Quelle est la performance à long terme de l'activisme des </w:t>
      </w:r>
      <w:proofErr w:type="spellStart"/>
      <w:r w:rsidRPr="001261FB">
        <w:rPr>
          <w:lang w:val="fr-FR" w:eastAsia="nl-NL"/>
        </w:rPr>
        <w:t>hedge</w:t>
      </w:r>
      <w:proofErr w:type="spellEnd"/>
      <w:r w:rsidRPr="001261FB">
        <w:rPr>
          <w:lang w:val="fr-FR" w:eastAsia="nl-NL"/>
        </w:rPr>
        <w:t xml:space="preserve"> </w:t>
      </w:r>
      <w:proofErr w:type="spellStart"/>
      <w:r w:rsidRPr="001261FB">
        <w:rPr>
          <w:lang w:val="fr-FR" w:eastAsia="nl-NL"/>
        </w:rPr>
        <w:t>funds</w:t>
      </w:r>
      <w:proofErr w:type="spellEnd"/>
      <w:r w:rsidRPr="001261FB">
        <w:rPr>
          <w:lang w:val="fr-FR" w:eastAsia="nl-NL"/>
        </w:rPr>
        <w:t xml:space="preserve"> aux Pays-Bas, et pourquoi certain</w:t>
      </w:r>
      <w:r>
        <w:rPr>
          <w:lang w:val="fr-FR" w:eastAsia="nl-NL"/>
        </w:rPr>
        <w:t>e</w:t>
      </w:r>
      <w:r w:rsidRPr="001261FB">
        <w:rPr>
          <w:lang w:val="fr-FR" w:eastAsia="nl-NL"/>
        </w:rPr>
        <w:t>s</w:t>
      </w:r>
      <w:r w:rsidR="00B4234E">
        <w:rPr>
          <w:lang w:val="fr-FR" w:eastAsia="nl-NL"/>
        </w:rPr>
        <w:t xml:space="preserve"> </w:t>
      </w:r>
      <w:r w:rsidRPr="001261FB">
        <w:rPr>
          <w:lang w:val="fr-FR" w:eastAsia="nl-NL"/>
        </w:rPr>
        <w:t>entreprises font mieux que les autres</w:t>
      </w:r>
      <w:r>
        <w:rPr>
          <w:lang w:val="fr-FR" w:eastAsia="nl-NL"/>
        </w:rPr>
        <w:t xml:space="preserve"> </w:t>
      </w:r>
      <w:r w:rsidRPr="001261FB">
        <w:rPr>
          <w:lang w:val="fr-FR" w:eastAsia="nl-NL"/>
        </w:rPr>
        <w:t>?</w:t>
      </w:r>
    </w:p>
    <w:p w:rsidR="001261FB" w:rsidRPr="001261FB" w:rsidRDefault="001261FB" w:rsidP="0012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1261FB" w:rsidRPr="001261FB" w:rsidRDefault="001261FB" w:rsidP="0012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  <w:r w:rsidRPr="001261FB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Plan de recherche</w:t>
      </w:r>
    </w:p>
    <w:p w:rsidR="001261FB" w:rsidRPr="001261FB" w:rsidRDefault="001261FB" w:rsidP="00126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1261FB" w:rsidRPr="001261FB" w:rsidRDefault="001261FB" w:rsidP="00BE1AFF">
      <w:pPr>
        <w:jc w:val="both"/>
        <w:rPr>
          <w:lang w:val="fr-FR" w:eastAsia="nl-NL"/>
        </w:rPr>
      </w:pPr>
      <w:r w:rsidRPr="001261FB">
        <w:rPr>
          <w:lang w:val="fr-FR" w:eastAsia="nl-NL"/>
        </w:rPr>
        <w:t>Comme indiqué ci-dessus, l'examen de la performance à long terme de l'activisme actionnarial est très</w:t>
      </w:r>
      <w:r w:rsidR="00B4234E">
        <w:rPr>
          <w:lang w:val="fr-FR" w:eastAsia="nl-NL"/>
        </w:rPr>
        <w:t xml:space="preserve"> </w:t>
      </w:r>
      <w:r w:rsidRPr="001261FB">
        <w:rPr>
          <w:lang w:val="fr-FR" w:eastAsia="nl-NL"/>
        </w:rPr>
        <w:t>difficile. Donc, avant de commencer avec cette analyse, je vais d'abord r</w:t>
      </w:r>
      <w:bookmarkStart w:id="0" w:name="_GoBack"/>
      <w:bookmarkEnd w:id="0"/>
      <w:r w:rsidRPr="001261FB">
        <w:rPr>
          <w:lang w:val="fr-FR" w:eastAsia="nl-NL"/>
        </w:rPr>
        <w:t>egarder l'ampleur d</w:t>
      </w:r>
      <w:r w:rsidR="00B4234E">
        <w:rPr>
          <w:lang w:val="fr-FR" w:eastAsia="nl-NL"/>
        </w:rPr>
        <w:t xml:space="preserve">u </w:t>
      </w:r>
      <w:r w:rsidRPr="001261FB">
        <w:rPr>
          <w:lang w:val="fr-FR" w:eastAsia="nl-NL"/>
        </w:rPr>
        <w:t xml:space="preserve">militantisme aux Pays-Bas. Depuis la dernière décennie, je veux recueillir toutes les données sur les entreprises publiques </w:t>
      </w:r>
      <w:r>
        <w:rPr>
          <w:lang w:val="fr-FR" w:eastAsia="nl-NL"/>
        </w:rPr>
        <w:t xml:space="preserve">aux </w:t>
      </w:r>
      <w:r w:rsidRPr="001261FB">
        <w:rPr>
          <w:lang w:val="fr-FR" w:eastAsia="nl-NL"/>
        </w:rPr>
        <w:t>Pays-Bas qui sont ou qui faisaient face à l'activisme des actionnaires des</w:t>
      </w:r>
      <w:r w:rsidR="00B4234E">
        <w:rPr>
          <w:lang w:val="fr-FR" w:eastAsia="nl-NL"/>
        </w:rPr>
        <w:t xml:space="preserve"> </w:t>
      </w:r>
      <w:proofErr w:type="spellStart"/>
      <w:r w:rsidRPr="001261FB">
        <w:rPr>
          <w:lang w:val="fr-FR" w:eastAsia="nl-NL"/>
        </w:rPr>
        <w:t>hedge</w:t>
      </w:r>
      <w:proofErr w:type="spellEnd"/>
      <w:r w:rsidRPr="001261FB">
        <w:rPr>
          <w:lang w:val="fr-FR" w:eastAsia="nl-NL"/>
        </w:rPr>
        <w:t xml:space="preserve"> </w:t>
      </w:r>
      <w:proofErr w:type="spellStart"/>
      <w:r w:rsidRPr="001261FB">
        <w:rPr>
          <w:lang w:val="fr-FR" w:eastAsia="nl-NL"/>
        </w:rPr>
        <w:t>funds</w:t>
      </w:r>
      <w:proofErr w:type="spellEnd"/>
      <w:r w:rsidRPr="001261FB">
        <w:rPr>
          <w:lang w:val="fr-FR" w:eastAsia="nl-NL"/>
        </w:rPr>
        <w:t>.</w:t>
      </w:r>
    </w:p>
    <w:p w:rsidR="001261FB" w:rsidRPr="001261FB" w:rsidRDefault="001261FB" w:rsidP="00B4234E">
      <w:pPr>
        <w:rPr>
          <w:lang w:val="fr-FR" w:eastAsia="nl-NL"/>
        </w:rPr>
      </w:pPr>
      <w:r w:rsidRPr="001261FB">
        <w:rPr>
          <w:lang w:val="fr-FR" w:eastAsia="nl-NL"/>
        </w:rPr>
        <w:t>En faisant une étude de cas, je serai en mesure d'avoir un bon aperçu des réussites et des échecs</w:t>
      </w:r>
      <w:r>
        <w:rPr>
          <w:lang w:val="fr-FR" w:eastAsia="nl-NL"/>
        </w:rPr>
        <w:t xml:space="preserve"> sur</w:t>
      </w:r>
      <w:r w:rsidRPr="001261FB">
        <w:rPr>
          <w:lang w:val="fr-FR" w:eastAsia="nl-NL"/>
        </w:rPr>
        <w:t xml:space="preserve"> la dernière décennie. A partir de là, j'essaie</w:t>
      </w:r>
      <w:r>
        <w:rPr>
          <w:lang w:val="fr-FR" w:eastAsia="nl-NL"/>
        </w:rPr>
        <w:t>rai</w:t>
      </w:r>
      <w:r w:rsidRPr="001261FB">
        <w:rPr>
          <w:lang w:val="fr-FR" w:eastAsia="nl-NL"/>
        </w:rPr>
        <w:t xml:space="preserve"> d'établir une théorie qui peut expliquer </w:t>
      </w:r>
      <w:r>
        <w:rPr>
          <w:lang w:val="fr-FR" w:eastAsia="nl-NL"/>
        </w:rPr>
        <w:t xml:space="preserve">sur </w:t>
      </w:r>
      <w:r w:rsidRPr="001261FB">
        <w:rPr>
          <w:lang w:val="fr-FR" w:eastAsia="nl-NL"/>
        </w:rPr>
        <w:t>le long terme</w:t>
      </w:r>
      <w:r>
        <w:rPr>
          <w:lang w:val="fr-FR" w:eastAsia="nl-NL"/>
        </w:rPr>
        <w:t xml:space="preserve"> la </w:t>
      </w:r>
      <w:r w:rsidRPr="001261FB">
        <w:rPr>
          <w:lang w:val="fr-FR" w:eastAsia="nl-NL"/>
        </w:rPr>
        <w:t xml:space="preserve">performance de l'activisme des </w:t>
      </w:r>
      <w:proofErr w:type="spellStart"/>
      <w:r w:rsidRPr="001261FB">
        <w:rPr>
          <w:lang w:val="fr-FR" w:eastAsia="nl-NL"/>
        </w:rPr>
        <w:t>hedge</w:t>
      </w:r>
      <w:proofErr w:type="spellEnd"/>
      <w:r w:rsidRPr="001261FB">
        <w:rPr>
          <w:lang w:val="fr-FR" w:eastAsia="nl-NL"/>
        </w:rPr>
        <w:t xml:space="preserve"> </w:t>
      </w:r>
      <w:proofErr w:type="spellStart"/>
      <w:r w:rsidRPr="001261FB">
        <w:rPr>
          <w:lang w:val="fr-FR" w:eastAsia="nl-NL"/>
        </w:rPr>
        <w:t>funds</w:t>
      </w:r>
      <w:proofErr w:type="spellEnd"/>
      <w:r w:rsidRPr="001261FB">
        <w:rPr>
          <w:lang w:val="fr-FR" w:eastAsia="nl-NL"/>
        </w:rPr>
        <w:t xml:space="preserve">. </w:t>
      </w:r>
      <w:r>
        <w:rPr>
          <w:lang w:val="fr-FR" w:eastAsia="nl-NL"/>
        </w:rPr>
        <w:t>Il s’agit d’</w:t>
      </w:r>
      <w:r w:rsidRPr="001261FB">
        <w:rPr>
          <w:lang w:val="fr-FR" w:eastAsia="nl-NL"/>
        </w:rPr>
        <w:t xml:space="preserve">une tâche difficile, </w:t>
      </w:r>
      <w:r>
        <w:rPr>
          <w:lang w:val="fr-FR" w:eastAsia="nl-NL"/>
        </w:rPr>
        <w:t xml:space="preserve">et </w:t>
      </w:r>
      <w:r w:rsidRPr="001261FB">
        <w:rPr>
          <w:lang w:val="fr-FR" w:eastAsia="nl-NL"/>
        </w:rPr>
        <w:t>je vais utiliser les théories</w:t>
      </w:r>
      <w:r w:rsidR="00B4234E">
        <w:rPr>
          <w:lang w:val="fr-FR" w:eastAsia="nl-NL"/>
        </w:rPr>
        <w:t xml:space="preserve"> </w:t>
      </w:r>
      <w:r w:rsidRPr="001261FB">
        <w:rPr>
          <w:lang w:val="fr-FR" w:eastAsia="nl-NL"/>
        </w:rPr>
        <w:t>financière et organisationnelle.</w:t>
      </w:r>
    </w:p>
    <w:p w:rsidR="001261FB" w:rsidRPr="001261FB" w:rsidRDefault="001261FB">
      <w:pPr>
        <w:rPr>
          <w:b/>
          <w:lang w:val="fr-FR"/>
        </w:rPr>
      </w:pPr>
    </w:p>
    <w:p w:rsidR="001261FB" w:rsidRPr="00F33B52" w:rsidRDefault="001261FB">
      <w:pPr>
        <w:rPr>
          <w:b/>
        </w:rPr>
      </w:pPr>
      <w:proofErr w:type="spellStart"/>
      <w:r w:rsidRPr="00F33B52">
        <w:rPr>
          <w:b/>
        </w:rPr>
        <w:t>Ressources</w:t>
      </w:r>
      <w:proofErr w:type="spellEnd"/>
    </w:p>
    <w:p w:rsidR="001261FB" w:rsidRDefault="001261FB">
      <w:r>
        <w:t xml:space="preserve">• </w:t>
      </w:r>
      <w:proofErr w:type="spellStart"/>
      <w:r>
        <w:t>Datastream</w:t>
      </w:r>
      <w:proofErr w:type="spellEnd"/>
      <w:r>
        <w:t xml:space="preserve"> </w:t>
      </w:r>
    </w:p>
    <w:p w:rsidR="001261FB" w:rsidRDefault="001261FB">
      <w:r>
        <w:t xml:space="preserve">• AFM </w:t>
      </w:r>
    </w:p>
    <w:p w:rsidR="001261FB" w:rsidRPr="00F33B52" w:rsidRDefault="001261FB">
      <w:r w:rsidRPr="00F33B52">
        <w:t xml:space="preserve">• </w:t>
      </w:r>
      <w:hyperlink r:id="rId4" w:history="1">
        <w:r w:rsidRPr="00F33B52">
          <w:rPr>
            <w:rStyle w:val="Hyperlink"/>
          </w:rPr>
          <w:t>http://www.hedgefundresearch.com/</w:t>
        </w:r>
      </w:hyperlink>
      <w:r w:rsidRPr="00F33B52">
        <w:t xml:space="preserve"> </w:t>
      </w:r>
    </w:p>
    <w:p w:rsidR="001261FB" w:rsidRPr="00F33B52" w:rsidRDefault="001261FB">
      <w:r w:rsidRPr="00F33B52">
        <w:t xml:space="preserve">• </w:t>
      </w:r>
      <w:hyperlink r:id="rId5" w:history="1">
        <w:r w:rsidRPr="00F33B52">
          <w:rPr>
            <w:rStyle w:val="Hyperlink"/>
          </w:rPr>
          <w:t>http://www.hedgefund.net/</w:t>
        </w:r>
      </w:hyperlink>
      <w:r w:rsidRPr="00F33B52">
        <w:t xml:space="preserve"> </w:t>
      </w:r>
    </w:p>
    <w:p w:rsidR="001261FB" w:rsidRPr="00F33B52" w:rsidRDefault="001261FB">
      <w:r w:rsidRPr="00F33B52">
        <w:t xml:space="preserve">• LexisNexis </w:t>
      </w:r>
    </w:p>
    <w:p w:rsidR="001261FB" w:rsidRPr="00F33B52" w:rsidRDefault="001261FB">
      <w:pPr>
        <w:rPr>
          <w:b/>
        </w:rPr>
      </w:pPr>
      <w:r w:rsidRPr="00F33B52">
        <w:t xml:space="preserve">• </w:t>
      </w:r>
      <w:hyperlink r:id="rId6" w:history="1">
        <w:r w:rsidRPr="00F33B52">
          <w:rPr>
            <w:rStyle w:val="Hyperlink"/>
          </w:rPr>
          <w:t>http://www.hedgerelations.com/research.html</w:t>
        </w:r>
      </w:hyperlink>
      <w:r w:rsidRPr="00F33B52">
        <w:t xml:space="preserve"> </w:t>
      </w:r>
    </w:p>
    <w:p w:rsidR="00496091" w:rsidRDefault="00496091">
      <w:pPr>
        <w:rPr>
          <w:b/>
        </w:rPr>
      </w:pPr>
    </w:p>
    <w:p w:rsidR="001261FB" w:rsidRPr="001261FB" w:rsidRDefault="001261FB">
      <w:pPr>
        <w:rPr>
          <w:b/>
        </w:rPr>
      </w:pPr>
      <w:r w:rsidRPr="001261FB">
        <w:rPr>
          <w:b/>
        </w:rPr>
        <w:t>Sources</w:t>
      </w:r>
    </w:p>
    <w:p w:rsidR="001261FB" w:rsidRDefault="001261FB">
      <w:r>
        <w:t xml:space="preserve">Becht, M., J. Franks, C. Mayer &amp; S. Rossi (2009), “Returns to </w:t>
      </w:r>
      <w:proofErr w:type="spellStart"/>
      <w:r>
        <w:t>Sharholder</w:t>
      </w:r>
      <w:proofErr w:type="spellEnd"/>
      <w:r>
        <w:t xml:space="preserve"> </w:t>
      </w:r>
      <w:proofErr w:type="spellStart"/>
      <w:r>
        <w:t>Acitvism</w:t>
      </w:r>
      <w:proofErr w:type="spellEnd"/>
      <w:r>
        <w:t>, Evidence from a Clinical Study of the Hermes U.K. Focus Fund”, Review of Financial Studies, 22 (8), 3093- 129.</w:t>
      </w:r>
    </w:p>
    <w:p w:rsidR="001261FB" w:rsidRDefault="001261FB">
      <w:pPr>
        <w:rPr>
          <w:lang w:val="nl-NL"/>
        </w:rPr>
      </w:pPr>
      <w:r w:rsidRPr="001261FB">
        <w:rPr>
          <w:lang w:val="nl-NL"/>
        </w:rPr>
        <w:t>Boot, A.W.A. &amp; K. Cools (2007), “</w:t>
      </w:r>
      <w:proofErr w:type="spellStart"/>
      <w:r w:rsidRPr="001261FB">
        <w:rPr>
          <w:lang w:val="nl-NL"/>
        </w:rPr>
        <w:t>Chapter</w:t>
      </w:r>
      <w:proofErr w:type="spellEnd"/>
      <w:r w:rsidRPr="001261FB">
        <w:rPr>
          <w:lang w:val="nl-NL"/>
        </w:rPr>
        <w:t xml:space="preserve"> 2 Private </w:t>
      </w:r>
      <w:proofErr w:type="spellStart"/>
      <w:r w:rsidRPr="001261FB">
        <w:rPr>
          <w:lang w:val="nl-NL"/>
        </w:rPr>
        <w:t>equity</w:t>
      </w:r>
      <w:proofErr w:type="spellEnd"/>
      <w:r w:rsidRPr="001261FB">
        <w:rPr>
          <w:lang w:val="nl-NL"/>
        </w:rPr>
        <w:t xml:space="preserve"> en activistische aandeelhouders: Bestuur onder vuur”, in Private </w:t>
      </w:r>
      <w:proofErr w:type="spellStart"/>
      <w:r w:rsidRPr="001261FB">
        <w:rPr>
          <w:lang w:val="nl-NL"/>
        </w:rPr>
        <w:t>Equity</w:t>
      </w:r>
      <w:proofErr w:type="spellEnd"/>
      <w:r w:rsidRPr="001261FB">
        <w:rPr>
          <w:lang w:val="nl-NL"/>
        </w:rPr>
        <w:t xml:space="preserve"> en Aandeelhoudersactivisme, Koninklijke Vereniging voor de Staathuishoudkunde Preadviezen 2007, Eijffinger, S &amp; C. Koedijk, Amsterdam, 15- 56.</w:t>
      </w:r>
    </w:p>
    <w:p w:rsidR="001261FB" w:rsidRDefault="001261FB">
      <w:proofErr w:type="spellStart"/>
      <w:r>
        <w:t>Brav</w:t>
      </w:r>
      <w:proofErr w:type="spellEnd"/>
      <w:r>
        <w:t xml:space="preserve">, A., W. Jiang., F. </w:t>
      </w:r>
      <w:proofErr w:type="spellStart"/>
      <w:r>
        <w:t>Partnoy</w:t>
      </w:r>
      <w:proofErr w:type="spellEnd"/>
      <w:r>
        <w:t xml:space="preserve"> &amp; R. Thomas (2008), “Hedge Fund Activism, Corporate Governance, and Firm Performance”, The Journal of Finance, 63 (4), 1729-75.</w:t>
      </w:r>
    </w:p>
    <w:p w:rsidR="001261FB" w:rsidRDefault="001261FB">
      <w:r>
        <w:lastRenderedPageBreak/>
        <w:t>Child, J. (1972), “Organization structure, environment, and performance: The role of strategic choice”, Sociology, 6, 1–22.</w:t>
      </w:r>
    </w:p>
    <w:p w:rsidR="001261FB" w:rsidRDefault="001261FB">
      <w:pPr>
        <w:rPr>
          <w:lang w:val="nl-NL"/>
        </w:rPr>
      </w:pPr>
      <w:proofErr w:type="spellStart"/>
      <w:r w:rsidRPr="001261FB">
        <w:rPr>
          <w:lang w:val="nl-NL"/>
        </w:rPr>
        <w:t>Dess</w:t>
      </w:r>
      <w:proofErr w:type="spellEnd"/>
      <w:r w:rsidRPr="001261FB">
        <w:rPr>
          <w:lang w:val="nl-NL"/>
        </w:rPr>
        <w:t xml:space="preserve">, G. G. &amp; D. W. </w:t>
      </w:r>
      <w:proofErr w:type="spellStart"/>
      <w:r w:rsidRPr="001261FB">
        <w:rPr>
          <w:lang w:val="nl-NL"/>
        </w:rPr>
        <w:t>Beard</w:t>
      </w:r>
      <w:proofErr w:type="spellEnd"/>
      <w:r w:rsidRPr="001261FB">
        <w:rPr>
          <w:lang w:val="nl-NL"/>
        </w:rPr>
        <w:t xml:space="preserve"> (1984), “</w:t>
      </w:r>
      <w:proofErr w:type="spellStart"/>
      <w:r w:rsidRPr="001261FB">
        <w:rPr>
          <w:lang w:val="nl-NL"/>
        </w:rPr>
        <w:t>Dimensions</w:t>
      </w:r>
      <w:proofErr w:type="spellEnd"/>
      <w:r w:rsidRPr="001261FB">
        <w:rPr>
          <w:lang w:val="nl-NL"/>
        </w:rPr>
        <w:t xml:space="preserve"> of </w:t>
      </w:r>
      <w:proofErr w:type="spellStart"/>
      <w:r w:rsidRPr="001261FB">
        <w:rPr>
          <w:lang w:val="nl-NL"/>
        </w:rPr>
        <w:t>organizational</w:t>
      </w:r>
      <w:proofErr w:type="spellEnd"/>
      <w:r w:rsidRPr="001261FB">
        <w:rPr>
          <w:lang w:val="nl-NL"/>
        </w:rPr>
        <w:t xml:space="preserve"> </w:t>
      </w:r>
      <w:proofErr w:type="spellStart"/>
      <w:r w:rsidRPr="001261FB">
        <w:rPr>
          <w:lang w:val="nl-NL"/>
        </w:rPr>
        <w:t>task</w:t>
      </w:r>
      <w:proofErr w:type="spellEnd"/>
      <w:r w:rsidRPr="001261FB">
        <w:rPr>
          <w:lang w:val="nl-NL"/>
        </w:rPr>
        <w:t xml:space="preserve"> environments”, </w:t>
      </w:r>
      <w:proofErr w:type="spellStart"/>
      <w:r w:rsidRPr="001261FB">
        <w:rPr>
          <w:lang w:val="nl-NL"/>
        </w:rPr>
        <w:t>Administrative</w:t>
      </w:r>
      <w:proofErr w:type="spellEnd"/>
      <w:r w:rsidRPr="001261FB">
        <w:rPr>
          <w:lang w:val="nl-NL"/>
        </w:rPr>
        <w:t xml:space="preserve"> </w:t>
      </w:r>
      <w:proofErr w:type="spellStart"/>
      <w:r w:rsidRPr="001261FB">
        <w:rPr>
          <w:lang w:val="nl-NL"/>
        </w:rPr>
        <w:t>Science</w:t>
      </w:r>
      <w:proofErr w:type="spellEnd"/>
      <w:r w:rsidRPr="001261FB">
        <w:rPr>
          <w:lang w:val="nl-NL"/>
        </w:rPr>
        <w:t xml:space="preserve"> </w:t>
      </w:r>
      <w:proofErr w:type="spellStart"/>
      <w:r w:rsidRPr="001261FB">
        <w:rPr>
          <w:lang w:val="nl-NL"/>
        </w:rPr>
        <w:t>Quarterly</w:t>
      </w:r>
      <w:proofErr w:type="spellEnd"/>
      <w:r w:rsidRPr="001261FB">
        <w:rPr>
          <w:lang w:val="nl-NL"/>
        </w:rPr>
        <w:t>, 29, 52–73</w:t>
      </w:r>
    </w:p>
    <w:p w:rsidR="001261FB" w:rsidRDefault="001261FB">
      <w:pPr>
        <w:rPr>
          <w:lang w:val="nl-NL"/>
        </w:rPr>
      </w:pPr>
      <w:r w:rsidRPr="001261FB">
        <w:rPr>
          <w:lang w:val="nl-NL"/>
        </w:rPr>
        <w:t xml:space="preserve"> Eijffinger, S &amp; C. Koedijk (2007), Private </w:t>
      </w:r>
      <w:proofErr w:type="spellStart"/>
      <w:r w:rsidRPr="001261FB">
        <w:rPr>
          <w:lang w:val="nl-NL"/>
        </w:rPr>
        <w:t>Equity</w:t>
      </w:r>
      <w:proofErr w:type="spellEnd"/>
      <w:r w:rsidRPr="001261FB">
        <w:rPr>
          <w:lang w:val="nl-NL"/>
        </w:rPr>
        <w:t xml:space="preserve"> en Aandeelhoudersactivisme, Koninklijke Vereniging voor de Staathuishoudkunde Preadviezen 2007, Amsterdam.</w:t>
      </w:r>
    </w:p>
    <w:p w:rsidR="001261FB" w:rsidRDefault="001261FB">
      <w:r>
        <w:t xml:space="preserve">Financial Times (2010), “Canon bid ‘significantly undervalues’ Océ”, Harding, R. &amp; M. Steen, </w:t>
      </w:r>
      <w:hyperlink r:id="rId7" w:history="1">
        <w:r w:rsidRPr="001C4262">
          <w:rPr>
            <w:rStyle w:val="Hyperlink"/>
          </w:rPr>
          <w:t>http://www.ft.com/cms/s/0/9e520efc-d413-11de-990c-00144feabdc0.html?SID=google</w:t>
        </w:r>
      </w:hyperlink>
    </w:p>
    <w:p w:rsidR="001261FB" w:rsidRDefault="001261FB">
      <w:r>
        <w:t xml:space="preserve"> Jong, A., G.M.H. Mertens &amp; P.G.J. </w:t>
      </w:r>
      <w:proofErr w:type="spellStart"/>
      <w:r>
        <w:t>Roosenboom</w:t>
      </w:r>
      <w:proofErr w:type="spellEnd"/>
      <w:r>
        <w:t xml:space="preserve"> (2004), “Shareholders voting at general meetings: Evidence from the Netherlands”, Erasmus University Working paper.</w:t>
      </w:r>
    </w:p>
    <w:p w:rsidR="001261FB" w:rsidRDefault="001261FB">
      <w:r>
        <w:t xml:space="preserve">Klein, A. &amp; E. </w:t>
      </w:r>
      <w:proofErr w:type="spellStart"/>
      <w:r>
        <w:t>Zur</w:t>
      </w:r>
      <w:proofErr w:type="spellEnd"/>
      <w:r>
        <w:t xml:space="preserve"> (2009), “Entrepreneurial Shareholder Activism: Hedge Funds and Other Private Investors”, The Journal of Finance, 64 (2), 187-229.</w:t>
      </w:r>
    </w:p>
    <w:p w:rsidR="001261FB" w:rsidRDefault="001261FB">
      <w:proofErr w:type="spellStart"/>
      <w:r>
        <w:t>Partnoy</w:t>
      </w:r>
      <w:proofErr w:type="spellEnd"/>
      <w:r>
        <w:t>, F. &amp; R. Thomas (2006), “Gap-Filling, hedge Funds, and Financial Innovation”, University of San Diego and Vanderbilt University Working paper, Brookins Institution Press.</w:t>
      </w:r>
    </w:p>
    <w:p w:rsidR="001261FB" w:rsidRDefault="001261FB">
      <w:r>
        <w:t>Pound, J. (1992), “Raiders, targets and politics: The history and future of American corporate control”, Journal of Applied Corporate Finance, 5 (3), 6-18.</w:t>
      </w:r>
    </w:p>
    <w:p w:rsidR="001261FB" w:rsidRDefault="001261FB">
      <w:r>
        <w:t xml:space="preserve">Reuters (2007), “FACTBOX-Cases of Dutch shareholder activism”, </w:t>
      </w:r>
      <w:hyperlink r:id="rId8" w:history="1">
        <w:r w:rsidRPr="001C4262">
          <w:rPr>
            <w:rStyle w:val="Hyperlink"/>
          </w:rPr>
          <w:t>http://www.reuters.com/article/idUSL1925791120070920</w:t>
        </w:r>
      </w:hyperlink>
      <w:r>
        <w:t>.</w:t>
      </w:r>
    </w:p>
    <w:p w:rsidR="001261FB" w:rsidRDefault="001261FB">
      <w:proofErr w:type="spellStart"/>
      <w:r>
        <w:t>Simmerly</w:t>
      </w:r>
      <w:proofErr w:type="spellEnd"/>
      <w:r>
        <w:t xml:space="preserve">, R.L. &amp; M. Li (2000), “Environmental </w:t>
      </w:r>
      <w:proofErr w:type="spellStart"/>
      <w:r>
        <w:t>Dynanism</w:t>
      </w:r>
      <w:proofErr w:type="spellEnd"/>
      <w:r>
        <w:t>, Capital Structure and Performance: A theoretical Integration and an Empirical Test”, Strategic Management Journal, 21, 31-49.</w:t>
      </w:r>
    </w:p>
    <w:p w:rsidR="001261FB" w:rsidRDefault="001261FB">
      <w:r>
        <w:t>Thomson, S. &amp; T. Pedersen (2000), “Ownership structure and Economic Performance in the Largest European Companies”, Strategic Management Journal, 21 (6), 689-705.</w:t>
      </w:r>
    </w:p>
    <w:p w:rsidR="0028167C" w:rsidRPr="001261FB" w:rsidRDefault="001261FB">
      <w:pPr>
        <w:rPr>
          <w:lang w:val="nl-NL"/>
        </w:rPr>
      </w:pPr>
      <w:proofErr w:type="spellStart"/>
      <w:r w:rsidRPr="001261FB">
        <w:rPr>
          <w:lang w:val="nl-NL"/>
        </w:rPr>
        <w:t>Witteloostuijn</w:t>
      </w:r>
      <w:proofErr w:type="spellEnd"/>
      <w:r w:rsidRPr="001261FB">
        <w:rPr>
          <w:lang w:val="nl-NL"/>
        </w:rPr>
        <w:t>, A. (2007), “</w:t>
      </w:r>
      <w:proofErr w:type="spellStart"/>
      <w:r w:rsidRPr="001261FB">
        <w:rPr>
          <w:lang w:val="nl-NL"/>
        </w:rPr>
        <w:t>Chapter</w:t>
      </w:r>
      <w:proofErr w:type="spellEnd"/>
      <w:r w:rsidRPr="001261FB">
        <w:rPr>
          <w:lang w:val="nl-NL"/>
        </w:rPr>
        <w:t xml:space="preserve"> 5 Aandeelhoudersonrust: Een </w:t>
      </w:r>
      <w:proofErr w:type="spellStart"/>
      <w:r w:rsidRPr="001261FB">
        <w:rPr>
          <w:lang w:val="nl-NL"/>
        </w:rPr>
        <w:t>organistatietheoretische</w:t>
      </w:r>
      <w:proofErr w:type="spellEnd"/>
      <w:r w:rsidRPr="001261FB">
        <w:rPr>
          <w:lang w:val="nl-NL"/>
        </w:rPr>
        <w:t xml:space="preserve"> analyse”, in Private </w:t>
      </w:r>
      <w:proofErr w:type="spellStart"/>
      <w:r w:rsidRPr="001261FB">
        <w:rPr>
          <w:lang w:val="nl-NL"/>
        </w:rPr>
        <w:t>Equity</w:t>
      </w:r>
      <w:proofErr w:type="spellEnd"/>
      <w:r w:rsidRPr="001261FB">
        <w:rPr>
          <w:lang w:val="nl-NL"/>
        </w:rPr>
        <w:t xml:space="preserve"> en Aandeelhoudersactivisme, Koninklijke Vereniging voor de Staathuishoudkunde Preadviezen 2007, Eijffinger, S &amp; C. Koedijk, Amsterdam, 147-68.</w:t>
      </w:r>
    </w:p>
    <w:sectPr w:rsidR="0028167C" w:rsidRPr="0012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FB"/>
    <w:rsid w:val="001261FB"/>
    <w:rsid w:val="00133D2D"/>
    <w:rsid w:val="001D3213"/>
    <w:rsid w:val="00243A3A"/>
    <w:rsid w:val="0028167C"/>
    <w:rsid w:val="00496091"/>
    <w:rsid w:val="005C2F0E"/>
    <w:rsid w:val="005F4BC3"/>
    <w:rsid w:val="00615E5C"/>
    <w:rsid w:val="00855FAD"/>
    <w:rsid w:val="00B4234E"/>
    <w:rsid w:val="00BE1AFF"/>
    <w:rsid w:val="00CB2FB4"/>
    <w:rsid w:val="00D20ECB"/>
    <w:rsid w:val="00F3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16A3"/>
  <w15:chartTrackingRefBased/>
  <w15:docId w15:val="{A84FB626-9180-4FDA-BC0B-9239E7FC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1F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61FB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99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653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ers.com/article/idUSL19257911200709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t.com/cms/s/0/9e520efc-d413-11de-990c-00144feabdc0.html?SID=goog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dgerelations.com/research.html" TargetMode="External"/><Relationship Id="rId5" Type="http://schemas.openxmlformats.org/officeDocument/2006/relationships/hyperlink" Target="http://www.hedgefund.ne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edgefundresearch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1663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2</cp:revision>
  <dcterms:created xsi:type="dcterms:W3CDTF">2018-07-16T13:20:00Z</dcterms:created>
  <dcterms:modified xsi:type="dcterms:W3CDTF">2018-07-17T08:52:00Z</dcterms:modified>
</cp:coreProperties>
</file>